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C7B" w:rsidRPr="00B266B0"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Pr="00B266B0">
        <w:rPr>
          <w:noProof w:val="0"/>
          <w:sz w:val="24"/>
          <w:szCs w:val="24"/>
        </w:rPr>
        <w:t>WG</w:t>
      </w:r>
      <w:r w:rsidR="00114653">
        <w:rPr>
          <w:noProof w:val="0"/>
          <w:sz w:val="24"/>
          <w:szCs w:val="24"/>
        </w:rPr>
        <w:t>1</w:t>
      </w:r>
      <w:r w:rsidRPr="00B266B0">
        <w:rPr>
          <w:noProof w:val="0"/>
          <w:sz w:val="24"/>
          <w:szCs w:val="24"/>
        </w:rPr>
        <w:t xml:space="preserve"> Meeting #</w:t>
      </w:r>
      <w:r w:rsidR="00D75E73">
        <w:rPr>
          <w:noProof w:val="0"/>
          <w:sz w:val="24"/>
          <w:szCs w:val="24"/>
        </w:rPr>
        <w:t>87</w:t>
      </w:r>
      <w:r w:rsidRPr="00B266B0">
        <w:rPr>
          <w:bCs/>
          <w:noProof w:val="0"/>
          <w:sz w:val="24"/>
          <w:szCs w:val="24"/>
        </w:rPr>
        <w:tab/>
      </w:r>
      <w:r w:rsidRPr="00B266B0">
        <w:rPr>
          <w:rFonts w:hint="eastAsia"/>
          <w:bCs/>
          <w:noProof w:val="0"/>
          <w:sz w:val="24"/>
          <w:szCs w:val="24"/>
        </w:rPr>
        <w:t>R</w:t>
      </w:r>
      <w:r w:rsidR="00114653">
        <w:rPr>
          <w:bCs/>
          <w:noProof w:val="0"/>
          <w:sz w:val="24"/>
          <w:szCs w:val="24"/>
        </w:rPr>
        <w:t>1</w:t>
      </w:r>
      <w:r w:rsidRPr="00B266B0">
        <w:rPr>
          <w:rFonts w:hint="eastAsia"/>
          <w:bCs/>
          <w:noProof w:val="0"/>
          <w:sz w:val="24"/>
          <w:szCs w:val="24"/>
        </w:rPr>
        <w:t>-</w:t>
      </w:r>
      <w:r w:rsidRPr="00B266B0">
        <w:rPr>
          <w:bCs/>
          <w:noProof w:val="0"/>
          <w:sz w:val="24"/>
          <w:szCs w:val="24"/>
        </w:rPr>
        <w:t>1</w:t>
      </w:r>
      <w:r w:rsidR="009B07CD">
        <w:rPr>
          <w:bCs/>
          <w:noProof w:val="0"/>
          <w:sz w:val="24"/>
          <w:szCs w:val="24"/>
        </w:rPr>
        <w:t>6</w:t>
      </w:r>
      <w:r w:rsidR="005B245A">
        <w:rPr>
          <w:bCs/>
          <w:noProof w:val="0"/>
          <w:sz w:val="24"/>
          <w:szCs w:val="24"/>
        </w:rPr>
        <w:t>12245</w:t>
      </w:r>
    </w:p>
    <w:p w:rsidR="00CD4C7B" w:rsidRPr="00B266B0" w:rsidRDefault="00D75E73" w:rsidP="00CD4C7B">
      <w:pPr>
        <w:pStyle w:val="Header"/>
        <w:tabs>
          <w:tab w:val="right" w:pos="9639"/>
        </w:tabs>
        <w:rPr>
          <w:bCs/>
          <w:noProof w:val="0"/>
          <w:sz w:val="24"/>
          <w:szCs w:val="24"/>
        </w:rPr>
      </w:pPr>
      <w:r>
        <w:rPr>
          <w:rFonts w:eastAsia="SimSun"/>
          <w:noProof w:val="0"/>
          <w:sz w:val="24"/>
          <w:szCs w:val="24"/>
          <w:lang w:eastAsia="zh-CN"/>
        </w:rPr>
        <w:t>Reno</w:t>
      </w:r>
      <w:r w:rsidR="00FC731B" w:rsidRPr="00FC731B">
        <w:rPr>
          <w:rFonts w:eastAsia="SimSun"/>
          <w:noProof w:val="0"/>
          <w:sz w:val="24"/>
          <w:szCs w:val="24"/>
          <w:lang w:eastAsia="zh-CN"/>
        </w:rPr>
        <w:t xml:space="preserve">, </w:t>
      </w:r>
      <w:r>
        <w:rPr>
          <w:rFonts w:eastAsia="SimSun"/>
          <w:noProof w:val="0"/>
          <w:sz w:val="24"/>
          <w:szCs w:val="24"/>
          <w:lang w:eastAsia="zh-CN"/>
        </w:rPr>
        <w:t>Nevada</w:t>
      </w:r>
      <w:r w:rsidR="00FC731B" w:rsidRPr="00FC731B">
        <w:rPr>
          <w:rFonts w:eastAsia="SimSun"/>
          <w:noProof w:val="0"/>
          <w:sz w:val="24"/>
          <w:szCs w:val="24"/>
          <w:lang w:eastAsia="zh-CN"/>
        </w:rPr>
        <w:t xml:space="preserve">, </w:t>
      </w:r>
      <w:r w:rsidR="005B245A">
        <w:rPr>
          <w:rFonts w:eastAsia="SimSun"/>
          <w:noProof w:val="0"/>
          <w:sz w:val="24"/>
          <w:szCs w:val="24"/>
          <w:lang w:eastAsia="zh-CN"/>
        </w:rPr>
        <w:t xml:space="preserve">USA, </w:t>
      </w:r>
      <w:r>
        <w:rPr>
          <w:rFonts w:eastAsia="SimSun"/>
          <w:noProof w:val="0"/>
          <w:sz w:val="24"/>
          <w:szCs w:val="24"/>
          <w:lang w:eastAsia="zh-CN"/>
        </w:rPr>
        <w:t>November</w:t>
      </w:r>
      <w:r w:rsidR="00FC731B" w:rsidRPr="00FC731B">
        <w:rPr>
          <w:rFonts w:eastAsia="SimSun"/>
          <w:noProof w:val="0"/>
          <w:sz w:val="24"/>
          <w:szCs w:val="24"/>
          <w:lang w:eastAsia="zh-CN"/>
        </w:rPr>
        <w:t xml:space="preserve"> 1</w:t>
      </w:r>
      <w:r>
        <w:rPr>
          <w:rFonts w:eastAsia="SimSun"/>
          <w:noProof w:val="0"/>
          <w:sz w:val="24"/>
          <w:szCs w:val="24"/>
          <w:lang w:eastAsia="zh-CN"/>
        </w:rPr>
        <w:t>4</w:t>
      </w:r>
      <w:r w:rsidR="00FC731B" w:rsidRPr="00FC731B">
        <w:rPr>
          <w:rFonts w:eastAsia="SimSun"/>
          <w:noProof w:val="0"/>
          <w:sz w:val="24"/>
          <w:szCs w:val="24"/>
          <w:vertAlign w:val="superscript"/>
          <w:lang w:eastAsia="zh-CN"/>
        </w:rPr>
        <w:t>th</w:t>
      </w:r>
      <w:r w:rsidR="00FC731B">
        <w:rPr>
          <w:rFonts w:eastAsia="SimSun"/>
          <w:noProof w:val="0"/>
          <w:sz w:val="24"/>
          <w:szCs w:val="24"/>
          <w:lang w:eastAsia="zh-CN"/>
        </w:rPr>
        <w:t xml:space="preserve"> – </w:t>
      </w:r>
      <w:r w:rsidR="00FC731B" w:rsidRPr="00FC731B">
        <w:rPr>
          <w:rFonts w:eastAsia="SimSun"/>
          <w:noProof w:val="0"/>
          <w:sz w:val="24"/>
          <w:szCs w:val="24"/>
          <w:lang w:eastAsia="zh-CN"/>
        </w:rPr>
        <w:t>1</w:t>
      </w:r>
      <w:r>
        <w:rPr>
          <w:rFonts w:eastAsia="SimSun"/>
          <w:noProof w:val="0"/>
          <w:sz w:val="24"/>
          <w:szCs w:val="24"/>
          <w:lang w:eastAsia="zh-CN"/>
        </w:rPr>
        <w:t>8</w:t>
      </w:r>
      <w:r w:rsidR="00FC731B" w:rsidRPr="00FC731B">
        <w:rPr>
          <w:rFonts w:eastAsia="SimSun"/>
          <w:noProof w:val="0"/>
          <w:sz w:val="24"/>
          <w:szCs w:val="24"/>
          <w:vertAlign w:val="superscript"/>
          <w:lang w:eastAsia="zh-CN"/>
        </w:rPr>
        <w:t>th</w:t>
      </w:r>
      <w:r w:rsidR="00FC731B" w:rsidRPr="00FC731B">
        <w:rPr>
          <w:rFonts w:eastAsia="SimSun"/>
          <w:noProof w:val="0"/>
          <w:sz w:val="24"/>
          <w:szCs w:val="24"/>
          <w:lang w:eastAsia="zh-CN"/>
        </w:rPr>
        <w:t>, 2016</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C566E">
        <w:rPr>
          <w:rFonts w:cs="Arial"/>
          <w:b/>
          <w:bCs/>
          <w:sz w:val="24"/>
          <w:lang w:eastAsia="ja-JP"/>
        </w:rPr>
        <w:t>7</w:t>
      </w:r>
      <w:r w:rsidR="00FC731B">
        <w:rPr>
          <w:rFonts w:cs="Arial"/>
          <w:b/>
          <w:bCs/>
          <w:sz w:val="24"/>
          <w:lang w:eastAsia="ja-JP"/>
        </w:rPr>
        <w:t>.1.</w:t>
      </w:r>
      <w:r w:rsidR="005C566E">
        <w:rPr>
          <w:rFonts w:cs="Arial"/>
          <w:b/>
          <w:bCs/>
          <w:sz w:val="24"/>
          <w:lang w:eastAsia="ja-JP"/>
        </w:rPr>
        <w:t>4</w:t>
      </w:r>
      <w:r w:rsidR="00FC731B">
        <w:rPr>
          <w:rFonts w:cs="Arial"/>
          <w:b/>
          <w:bCs/>
          <w:sz w:val="24"/>
          <w:lang w:eastAsia="ja-JP"/>
        </w:rPr>
        <w:t>.</w:t>
      </w:r>
      <w:r w:rsidR="005C566E">
        <w:rPr>
          <w:rFonts w:cs="Arial"/>
          <w:b/>
          <w:bCs/>
          <w:sz w:val="24"/>
          <w:lang w:eastAsia="ja-JP"/>
        </w:rPr>
        <w:t>3</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14DAD">
        <w:rPr>
          <w:rFonts w:ascii="Arial" w:hAnsi="Arial" w:cs="Arial"/>
          <w:b/>
          <w:bCs/>
          <w:sz w:val="24"/>
        </w:rPr>
        <w:t xml:space="preserve">HARQ Pooling for </w:t>
      </w:r>
      <w:r w:rsidR="00B57059">
        <w:rPr>
          <w:rFonts w:ascii="Arial" w:hAnsi="Arial" w:cs="Arial"/>
          <w:b/>
          <w:bCs/>
          <w:sz w:val="24"/>
        </w:rPr>
        <w:t>Carrier Aggregation in</w:t>
      </w:r>
      <w:r w:rsidR="00452A07">
        <w:rPr>
          <w:rFonts w:ascii="Arial" w:hAnsi="Arial" w:cs="Arial"/>
          <w:b/>
          <w:bCs/>
          <w:sz w:val="24"/>
        </w:rPr>
        <w:t xml:space="preserve"> NR</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A3488D" w:rsidRDefault="00C05498" w:rsidP="00AF6CF8">
      <w:pPr>
        <w:jc w:val="both"/>
      </w:pPr>
      <w:r>
        <w:t xml:space="preserve">As per RAN2#94, it has been agreed to study </w:t>
      </w:r>
      <w:r w:rsidR="002B41E1">
        <w:t>both higher and</w:t>
      </w:r>
      <w:r w:rsidR="009B5CE7">
        <w:t xml:space="preserve"> </w:t>
      </w:r>
      <w:r w:rsidR="00746EA2">
        <w:t>lower-</w:t>
      </w:r>
      <w:r>
        <w:t>layer carrier aggregation (</w:t>
      </w:r>
      <w:r w:rsidR="002B41E1">
        <w:t xml:space="preserve">both DC-like and </w:t>
      </w:r>
      <w:r w:rsidR="00746EA2">
        <w:t>CA</w:t>
      </w:r>
      <w:r>
        <w:t>-</w:t>
      </w:r>
      <w:proofErr w:type="gramStart"/>
      <w:r>
        <w:t>like</w:t>
      </w:r>
      <w:proofErr w:type="gramEnd"/>
      <w:r>
        <w:t>)</w:t>
      </w:r>
      <w:r w:rsidR="00E55CA0">
        <w:t xml:space="preserve"> for NR</w:t>
      </w:r>
      <w:r w:rsidR="004E7179">
        <w:t xml:space="preserve"> [1]</w:t>
      </w:r>
      <w:r>
        <w:t xml:space="preserve">. </w:t>
      </w:r>
      <w:r w:rsidR="00452A07">
        <w:t xml:space="preserve">NR </w:t>
      </w:r>
      <w:r w:rsidR="004558AF">
        <w:t xml:space="preserve">is expected to </w:t>
      </w:r>
      <w:r w:rsidR="00452A07">
        <w:t xml:space="preserve">support multi-connectivity across </w:t>
      </w:r>
      <w:r w:rsidR="004E7179">
        <w:t>carriers that</w:t>
      </w:r>
      <w:r w:rsidR="00452A07">
        <w:t xml:space="preserve"> operate on </w:t>
      </w:r>
      <w:r w:rsidR="00D80C2A">
        <w:t xml:space="preserve">different frequency bands. </w:t>
      </w:r>
      <w:r w:rsidR="00D75E73">
        <w:t xml:space="preserve">  This discussion pertains to o</w:t>
      </w:r>
      <w:r w:rsidR="00DC3D7D">
        <w:t xml:space="preserve">ne of the NR </w:t>
      </w:r>
      <w:r w:rsidR="00283A7F">
        <w:t xml:space="preserve">architectural options </w:t>
      </w:r>
      <w:r w:rsidR="001B251F">
        <w:t xml:space="preserve">with </w:t>
      </w:r>
      <w:r w:rsidR="00956133">
        <w:t>Centralized/Cloud RAN</w:t>
      </w:r>
      <w:r>
        <w:t xml:space="preserve"> deployment</w:t>
      </w:r>
      <w:r w:rsidR="004558AF">
        <w:t xml:space="preserve"> </w:t>
      </w:r>
      <w:r w:rsidR="001B251F">
        <w:t xml:space="preserve">and </w:t>
      </w:r>
      <w:r w:rsidR="004A3B12">
        <w:t>remote radio head</w:t>
      </w:r>
      <w:r w:rsidR="000B3D2C">
        <w:t xml:space="preserve"> [2]</w:t>
      </w:r>
      <w:r w:rsidR="00283A7F">
        <w:t xml:space="preserve">.  The </w:t>
      </w:r>
      <w:r w:rsidR="00452A07">
        <w:t xml:space="preserve">baseband processing </w:t>
      </w:r>
      <w:r w:rsidR="004A3B12">
        <w:t xml:space="preserve">in the </w:t>
      </w:r>
      <w:r w:rsidR="00746EA2">
        <w:t xml:space="preserve">cloud </w:t>
      </w:r>
      <w:r w:rsidR="00283A7F">
        <w:t>could include</w:t>
      </w:r>
      <w:r w:rsidR="001D25A7">
        <w:t xml:space="preserve"> </w:t>
      </w:r>
      <w:r w:rsidR="00283A7F">
        <w:t>PDCP, RLC</w:t>
      </w:r>
      <w:r w:rsidR="00B91834">
        <w:t>,</w:t>
      </w:r>
      <w:r w:rsidR="00283A7F">
        <w:t xml:space="preserve"> and </w:t>
      </w:r>
      <w:r w:rsidR="001D25A7">
        <w:t xml:space="preserve">MAC </w:t>
      </w:r>
      <w:r w:rsidR="00746EA2" w:rsidRPr="00746EA2">
        <w:t xml:space="preserve">and all/some/none of the PHY functionality, while the </w:t>
      </w:r>
      <w:r w:rsidR="00746EA2">
        <w:t>Radio Unit (RU)</w:t>
      </w:r>
      <w:r w:rsidR="00746EA2" w:rsidRPr="00746EA2">
        <w:t xml:space="preserve"> could handle the remaining portions of the baseband PHY functions and RF processing</w:t>
      </w:r>
      <w:r w:rsidR="00746EA2">
        <w:t xml:space="preserve">. </w:t>
      </w:r>
    </w:p>
    <w:p w:rsidR="00C05498" w:rsidRDefault="004A3B12" w:rsidP="00AF6CF8">
      <w:pPr>
        <w:jc w:val="both"/>
      </w:pPr>
      <w:r>
        <w:t xml:space="preserve">A </w:t>
      </w:r>
      <w:proofErr w:type="spellStart"/>
      <w:r>
        <w:t>fronthaul</w:t>
      </w:r>
      <w:proofErr w:type="spellEnd"/>
      <w:r>
        <w:t xml:space="preserve"> with a potentially non-</w:t>
      </w:r>
      <w:r w:rsidR="00A3488D">
        <w:t>negligible</w:t>
      </w:r>
      <w:r>
        <w:t xml:space="preserve"> latency </w:t>
      </w:r>
      <w:r w:rsidR="00B91834">
        <w:t xml:space="preserve">could be </w:t>
      </w:r>
      <w:r>
        <w:t xml:space="preserve">used to interconnect the </w:t>
      </w:r>
      <w:r w:rsidR="00746EA2">
        <w:t xml:space="preserve">cloud baseband unit </w:t>
      </w:r>
      <w:r>
        <w:t xml:space="preserve">with the </w:t>
      </w:r>
      <w:proofErr w:type="spellStart"/>
      <w:r w:rsidR="00746EA2">
        <w:t>RUs</w:t>
      </w:r>
      <w:r>
        <w:t>.</w:t>
      </w:r>
      <w:proofErr w:type="spellEnd"/>
      <w:r>
        <w:t xml:space="preserve"> Depending on the topology of the </w:t>
      </w:r>
      <w:proofErr w:type="spellStart"/>
      <w:r>
        <w:t>fronthaul</w:t>
      </w:r>
      <w:proofErr w:type="spellEnd"/>
      <w:r>
        <w:t xml:space="preserve"> network, </w:t>
      </w:r>
      <w:r w:rsidR="00452A07">
        <w:t xml:space="preserve">different cells </w:t>
      </w:r>
      <w:r>
        <w:t xml:space="preserve">can possibly </w:t>
      </w:r>
      <w:r w:rsidR="00452A07">
        <w:t xml:space="preserve">experience different </w:t>
      </w:r>
      <w:proofErr w:type="spellStart"/>
      <w:r w:rsidR="00452A07">
        <w:t>fronthaul</w:t>
      </w:r>
      <w:proofErr w:type="spellEnd"/>
      <w:r w:rsidR="00452A07">
        <w:t xml:space="preserve"> latencies </w:t>
      </w:r>
      <w:r w:rsidR="00C05498">
        <w:t>as shown in Fig. 1</w:t>
      </w:r>
      <w:r w:rsidR="00452A07">
        <w:t xml:space="preserve">. </w:t>
      </w:r>
      <w:r w:rsidR="00880671">
        <w:t>Thus,</w:t>
      </w:r>
      <w:r w:rsidR="00C05498">
        <w:t xml:space="preserve"> it may not be possible to pre-determine the number of</w:t>
      </w:r>
      <w:r w:rsidR="00D96A9C">
        <w:t xml:space="preserve"> HARQ processes needed per carrier</w:t>
      </w:r>
      <w:r w:rsidR="00C05498">
        <w:t xml:space="preserve"> to avoid HARQ stall. Even if it is possible to determine an upper bound </w:t>
      </w:r>
      <w:r w:rsidR="001D25A7">
        <w:t xml:space="preserve">on the RTT and use that to provision </w:t>
      </w:r>
      <w:r w:rsidR="00C05498">
        <w:t>sufficient number</w:t>
      </w:r>
      <w:r w:rsidR="001D25A7">
        <w:t xml:space="preserve"> of HARQ processes for each carrier</w:t>
      </w:r>
      <w:r w:rsidR="00C05498">
        <w:t xml:space="preserve">, it will </w:t>
      </w:r>
      <w:r>
        <w:t xml:space="preserve">result </w:t>
      </w:r>
      <w:r w:rsidR="001D25A7">
        <w:t>in an unnecessary</w:t>
      </w:r>
      <w:r w:rsidR="00C05498">
        <w:t xml:space="preserve"> over-pr</w:t>
      </w:r>
      <w:r w:rsidR="001D25A7">
        <w:t>ovisioning of the HARQ buffer at the</w:t>
      </w:r>
      <w:r w:rsidR="00C05498">
        <w:t xml:space="preserve"> UE. </w:t>
      </w:r>
      <w:r w:rsidR="008C20BE">
        <w:t xml:space="preserve">Moreover, in the case that the available HARQ processes are insufficient to schedule the UE </w:t>
      </w:r>
      <w:r w:rsidR="00AC6178">
        <w:t xml:space="preserve">in </w:t>
      </w:r>
      <w:r w:rsidR="008C20BE">
        <w:t xml:space="preserve">every TTI </w:t>
      </w:r>
      <w:r w:rsidR="00AC6178">
        <w:t xml:space="preserve">due to </w:t>
      </w:r>
      <w:proofErr w:type="spellStart"/>
      <w:r w:rsidR="00AC6178">
        <w:t>fronthaul</w:t>
      </w:r>
      <w:proofErr w:type="spellEnd"/>
      <w:r w:rsidR="00AC6178">
        <w:t xml:space="preserve"> delay</w:t>
      </w:r>
      <w:r w:rsidR="008C20BE">
        <w:t xml:space="preserve">, </w:t>
      </w:r>
      <w:r w:rsidR="00AC6178">
        <w:t xml:space="preserve">then </w:t>
      </w:r>
      <w:r w:rsidR="008C20BE">
        <w:t xml:space="preserve">it would be beneficial to </w:t>
      </w:r>
      <w:r w:rsidR="00AC6178">
        <w:t xml:space="preserve">preferentially </w:t>
      </w:r>
      <w:r w:rsidR="008C20BE">
        <w:t xml:space="preserve">make use of the HARQ processes on that carrier where the UE is able to get a larger throughput. </w:t>
      </w:r>
      <w:r w:rsidR="00D80C2A">
        <w:t xml:space="preserve">In this </w:t>
      </w:r>
      <w:r w:rsidR="00880671">
        <w:t>document,</w:t>
      </w:r>
      <w:r w:rsidR="00D80C2A">
        <w:t xml:space="preserve"> we discuss </w:t>
      </w:r>
      <w:r w:rsidR="00C05498">
        <w:t xml:space="preserve">a scheme </w:t>
      </w:r>
      <w:r w:rsidR="00390F52">
        <w:t>to pool the HARQ processes across the aggregated carriers</w:t>
      </w:r>
      <w:r w:rsidR="00C05498">
        <w:t>.</w:t>
      </w:r>
    </w:p>
    <w:p w:rsidR="00C05498" w:rsidRDefault="00390F52" w:rsidP="00C05498">
      <w:pPr>
        <w:keepNext/>
        <w:jc w:val="center"/>
      </w:pPr>
      <w:r>
        <w:rPr>
          <w:noProof/>
          <w:lang w:val="en-US" w:eastAsia="zh-CN"/>
        </w:rPr>
        <w:drawing>
          <wp:inline distT="0" distB="0" distL="0" distR="0">
            <wp:extent cx="2907052" cy="2227180"/>
            <wp:effectExtent l="19050" t="19050" r="26670" b="209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26970" cy="2242440"/>
                    </a:xfrm>
                    <a:prstGeom prst="rect">
                      <a:avLst/>
                    </a:prstGeom>
                    <a:noFill/>
                    <a:ln>
                      <a:solidFill>
                        <a:schemeClr val="tx1"/>
                      </a:solidFill>
                    </a:ln>
                  </pic:spPr>
                </pic:pic>
              </a:graphicData>
            </a:graphic>
          </wp:inline>
        </w:drawing>
      </w:r>
    </w:p>
    <w:p w:rsidR="00C05498" w:rsidRPr="006E13D1" w:rsidRDefault="00C05498" w:rsidP="00C05498">
      <w:pPr>
        <w:pStyle w:val="Caption"/>
        <w:jc w:val="center"/>
      </w:pPr>
      <w:r>
        <w:t xml:space="preserve">Figure </w:t>
      </w:r>
      <w:fldSimple w:instr=" SEQ Figure \* ARABIC ">
        <w:r w:rsidR="00AF0EBA">
          <w:rPr>
            <w:noProof/>
          </w:rPr>
          <w:t>1</w:t>
        </w:r>
      </w:fldSimple>
      <w:r w:rsidR="006A384C">
        <w:rPr>
          <w:noProof/>
        </w:rPr>
        <w:t>:</w:t>
      </w:r>
      <w:r>
        <w:t xml:space="preserve"> </w:t>
      </w:r>
      <w:r>
        <w:rPr>
          <w:lang w:val="en-US"/>
        </w:rPr>
        <w:t>Carrier Aggregation</w:t>
      </w:r>
      <w:r w:rsidRPr="00282FC8">
        <w:rPr>
          <w:lang w:val="en-US"/>
        </w:rPr>
        <w:t xml:space="preserve"> in cloud RAN with non-</w:t>
      </w:r>
      <w:r w:rsidR="00400165">
        <w:rPr>
          <w:lang w:val="en-US"/>
        </w:rPr>
        <w:t>negligible</w:t>
      </w:r>
      <w:r w:rsidRPr="00282FC8">
        <w:rPr>
          <w:lang w:val="en-US"/>
        </w:rPr>
        <w:t xml:space="preserve"> </w:t>
      </w:r>
      <w:proofErr w:type="spellStart"/>
      <w:r w:rsidRPr="00282FC8">
        <w:rPr>
          <w:lang w:val="en-US"/>
        </w:rPr>
        <w:t>fronthaul</w:t>
      </w:r>
      <w:proofErr w:type="spellEnd"/>
      <w:r w:rsidRPr="00282FC8">
        <w:rPr>
          <w:lang w:val="en-US"/>
        </w:rPr>
        <w:t xml:space="preserve"> latency</w:t>
      </w:r>
    </w:p>
    <w:p w:rsidR="00CD4C7B" w:rsidRPr="006E13D1" w:rsidRDefault="00CD4C7B" w:rsidP="00CD4C7B">
      <w:pPr>
        <w:pStyle w:val="Heading1"/>
      </w:pPr>
      <w:r w:rsidRPr="006E13D1">
        <w:t>2</w:t>
      </w:r>
      <w:r w:rsidRPr="006E13D1">
        <w:tab/>
      </w:r>
      <w:r w:rsidR="00CE157C">
        <w:t>Discussion</w:t>
      </w:r>
    </w:p>
    <w:p w:rsidR="00CE157C" w:rsidRPr="006E13D1" w:rsidRDefault="00CE157C">
      <w:pPr>
        <w:pStyle w:val="Heading2"/>
      </w:pPr>
      <w:r>
        <w:t>2</w:t>
      </w:r>
      <w:r w:rsidRPr="006E13D1">
        <w:t>.1</w:t>
      </w:r>
      <w:r w:rsidRPr="006E13D1">
        <w:tab/>
      </w:r>
      <w:r w:rsidR="009A63D0">
        <w:t xml:space="preserve">Review of </w:t>
      </w:r>
      <w:r w:rsidR="00C05498">
        <w:t>HARQ process allocation in LTE Carrier Aggregation</w:t>
      </w:r>
    </w:p>
    <w:p w:rsidR="00FD5460" w:rsidRDefault="00390F52" w:rsidP="00AF6CF8">
      <w:pPr>
        <w:jc w:val="both"/>
      </w:pPr>
      <w:r>
        <w:t xml:space="preserve">In LTE, each carrier uses equal and separate number of HARQ processes per carrier since it assumes a fixed and uniform RTT across all the cells in the RAN. </w:t>
      </w:r>
      <w:r w:rsidR="008421E5">
        <w:t xml:space="preserve"> </w:t>
      </w:r>
      <w:r w:rsidR="008421E5" w:rsidRPr="008421E5">
        <w:t>Current LTE HARQ design does not account for non-</w:t>
      </w:r>
      <w:r w:rsidR="00A3488D">
        <w:t>negligible</w:t>
      </w:r>
      <w:r w:rsidR="008421E5" w:rsidRPr="008421E5">
        <w:t xml:space="preserve"> </w:t>
      </w:r>
      <w:proofErr w:type="spellStart"/>
      <w:r w:rsidR="008421E5" w:rsidRPr="008421E5">
        <w:t>fronthaul</w:t>
      </w:r>
      <w:proofErr w:type="spellEnd"/>
      <w:r w:rsidR="008421E5" w:rsidRPr="008421E5">
        <w:t xml:space="preserve"> latency</w:t>
      </w:r>
      <w:r w:rsidR="00555FE9">
        <w:t>, and is hence unsuitable</w:t>
      </w:r>
      <w:r w:rsidR="007746E3">
        <w:t xml:space="preserve"> for cloud deployment with variable and non-</w:t>
      </w:r>
      <w:r w:rsidR="00A3488D">
        <w:t>negligible</w:t>
      </w:r>
      <w:r w:rsidR="007746E3">
        <w:t xml:space="preserve"> </w:t>
      </w:r>
      <w:proofErr w:type="spellStart"/>
      <w:r w:rsidR="007746E3">
        <w:t>fronthaul</w:t>
      </w:r>
      <w:proofErr w:type="spellEnd"/>
      <w:r w:rsidR="007746E3">
        <w:t xml:space="preserve"> latencies. </w:t>
      </w:r>
      <w:r>
        <w:t xml:space="preserve">To support </w:t>
      </w:r>
      <w:r w:rsidR="00A3488D">
        <w:t>variable</w:t>
      </w:r>
      <w:r>
        <w:t xml:space="preserve"> </w:t>
      </w:r>
      <w:proofErr w:type="spellStart"/>
      <w:r>
        <w:t>fronthaul</w:t>
      </w:r>
      <w:proofErr w:type="spellEnd"/>
      <w:r>
        <w:t xml:space="preserve"> latencies across the </w:t>
      </w:r>
      <w:r w:rsidR="00BA3EAE">
        <w:t xml:space="preserve">NR </w:t>
      </w:r>
      <w:r>
        <w:t xml:space="preserve">carriers using the LTE approach, we could set the number of HARQ </w:t>
      </w:r>
      <w:r>
        <w:lastRenderedPageBreak/>
        <w:t xml:space="preserve">processes for each carrier to be the maximum possible RTT that can be encountered anywhere in the network. However, this requires over-provisioning of HARQ processes on carriers that experience a smaller RTT, resulting in additional overhead </w:t>
      </w:r>
      <w:r w:rsidR="008421E5">
        <w:t xml:space="preserve">in terms of the number of </w:t>
      </w:r>
      <w:r>
        <w:t xml:space="preserve">bits </w:t>
      </w:r>
      <w:r w:rsidR="008421E5">
        <w:t xml:space="preserve">needed </w:t>
      </w:r>
      <w:r w:rsidR="00BB3CAC">
        <w:t xml:space="preserve">to convey the HARQ process identifier </w:t>
      </w:r>
      <w:r>
        <w:t xml:space="preserve">and </w:t>
      </w:r>
      <w:r w:rsidR="008421E5">
        <w:t xml:space="preserve">as a consequence, </w:t>
      </w:r>
      <w:r>
        <w:t xml:space="preserve">larger HARQ memory requirement at the UEs. </w:t>
      </w:r>
      <w:r w:rsidR="00D37103">
        <w:t>Secondly, as covered in [</w:t>
      </w:r>
      <w:r w:rsidR="00E64BFF">
        <w:t xml:space="preserve">3, </w:t>
      </w:r>
      <w:r w:rsidR="00D37103">
        <w:t>4], NR is expected to support carrier a</w:t>
      </w:r>
      <w:r w:rsidR="00D37103" w:rsidRPr="00D37103">
        <w:t>ggregation between carriers of different air interface numerologies</w:t>
      </w:r>
      <w:r w:rsidR="00D06BFE">
        <w:t>,</w:t>
      </w:r>
      <w:r w:rsidR="00C06EFB">
        <w:t xml:space="preserve"> e.g.,</w:t>
      </w:r>
      <w:r w:rsidR="00D37103">
        <w:t xml:space="preserve"> TTI lengths might be different. </w:t>
      </w:r>
      <w:r w:rsidR="00D37103" w:rsidRPr="00D37103">
        <w:t xml:space="preserve"> </w:t>
      </w:r>
      <w:r w:rsidR="00E5551F">
        <w:t>Hence,</w:t>
      </w:r>
      <w:r w:rsidR="00E5551F" w:rsidRPr="00E5551F">
        <w:t xml:space="preserve"> we </w:t>
      </w:r>
      <w:r w:rsidR="00D06BFE">
        <w:t xml:space="preserve">propose to </w:t>
      </w:r>
      <w:r w:rsidR="00E5551F" w:rsidRPr="00E5551F">
        <w:t>revisit the conce</w:t>
      </w:r>
      <w:r w:rsidR="00E5551F">
        <w:t xml:space="preserve">pt of separate HARQ processes per carrier for a UE in multi-connectivity. </w:t>
      </w:r>
    </w:p>
    <w:p w:rsidR="00FD5460" w:rsidRDefault="00FD5460" w:rsidP="00AF6CF8">
      <w:pPr>
        <w:jc w:val="both"/>
      </w:pPr>
      <w:r w:rsidRPr="008421E5">
        <w:t xml:space="preserve">Current LTE HARQ design does not </w:t>
      </w:r>
      <w:r>
        <w:t>enable</w:t>
      </w:r>
      <w:r w:rsidRPr="008421E5">
        <w:t xml:space="preserve"> </w:t>
      </w:r>
      <w:r>
        <w:t>flexible packet processing times at the UE to enable simultaneously both implementations using low-cost, slower processors and implementations using faster processors. By allowing faster processors to reduce the processing times achieves lower latency. To support non-uniform processing latencies across the NR carriers using the LTE approach, we could set the number of HARQ processes for each carrier and for all UEs to be the maximum possible RTT that can be encountered for any UE/</w:t>
      </w:r>
      <w:proofErr w:type="spellStart"/>
      <w:r>
        <w:t>eNodeB</w:t>
      </w:r>
      <w:proofErr w:type="spellEnd"/>
      <w:r>
        <w:t xml:space="preserve"> in the network. However, this requires over-provisioning of HARQ processes on carriers that experience a smaller processing time, resulting in additional overhead in terms of the number of bits needed to convey the HARQ process identifier and as a consequence, larger HARQ memory requirement at the UEs for those UEs that need only a smaller processing time. Instead, such UEs should be able to make use of its additional HARQ memory to support more transmissions from other carriers. Conversely, in order to meet the peak throughput requirement, by using the LTE method, we would need to unnecessarily impose a larger soft buffer requirement across all carriers on lower-cost implementations with slower processors. </w:t>
      </w:r>
      <w:r w:rsidRPr="00AA7254">
        <w:t xml:space="preserve">HARQ pooling can allow some optimization of the memory requirements for such UEs and trade off the ability to reach peak throughput </w:t>
      </w:r>
      <w:proofErr w:type="spellStart"/>
      <w:r w:rsidRPr="00AA7254">
        <w:t>vs</w:t>
      </w:r>
      <w:proofErr w:type="spellEnd"/>
      <w:r w:rsidRPr="00AA7254">
        <w:t xml:space="preserve"> memory requirements for cost-</w:t>
      </w:r>
      <w:r w:rsidR="00E30BCF" w:rsidRPr="00AA7254">
        <w:t>sensitive UEs.</w:t>
      </w:r>
    </w:p>
    <w:p w:rsidR="008C20BE" w:rsidRDefault="00E30BCF" w:rsidP="00AF6CF8">
      <w:pPr>
        <w:jc w:val="both"/>
      </w:pPr>
      <w:r>
        <w:t>Finally, HARQ retransmissions in LTE can only be performed on the same carrier as the one in which the fresh transmission was done. With NR at higher frequency bands, due to the challenging propagation conditions and the line-of-sight requirements, the connectivity to the cm-wave/mm-wave cell may be temporarily not available as shown in Figure 1. Under such scenarios, using the LTE approach would imply that the recovery of the packets that need HARQ retransmission at the time of the loss of connection would have to be done through higher layers, similar to handovers, resulting in poor performance, especially given that such loss of LOS paths may occur too frequently.</w:t>
      </w:r>
    </w:p>
    <w:p w:rsidR="0047562B" w:rsidRDefault="0047562B" w:rsidP="00AF6CF8">
      <w:pPr>
        <w:jc w:val="both"/>
      </w:pPr>
    </w:p>
    <w:p w:rsidR="00FD5460" w:rsidRDefault="00FD5460" w:rsidP="00AF6CF8">
      <w:pPr>
        <w:jc w:val="both"/>
        <w:rPr>
          <w:b/>
        </w:rPr>
      </w:pPr>
      <w:r>
        <w:rPr>
          <w:b/>
        </w:rPr>
        <w:t>Observation</w:t>
      </w:r>
      <w:r w:rsidRPr="001C7264">
        <w:rPr>
          <w:b/>
        </w:rPr>
        <w:t xml:space="preserve"> </w:t>
      </w:r>
      <w:r w:rsidR="00B933F0">
        <w:rPr>
          <w:b/>
        </w:rPr>
        <w:t>1</w:t>
      </w:r>
      <w:r w:rsidRPr="001C7264">
        <w:rPr>
          <w:b/>
        </w:rPr>
        <w:t xml:space="preserve">: </w:t>
      </w:r>
      <w:r>
        <w:rPr>
          <w:b/>
        </w:rPr>
        <w:t>In NR, it would be beneficial to have flexible HARQ process allocation to enable variable processing times</w:t>
      </w:r>
      <w:r w:rsidR="00555FE9">
        <w:rPr>
          <w:b/>
        </w:rPr>
        <w:t xml:space="preserve">, </w:t>
      </w:r>
      <w:r w:rsidR="00B83FD2">
        <w:rPr>
          <w:b/>
        </w:rPr>
        <w:t xml:space="preserve">variable </w:t>
      </w:r>
      <w:r w:rsidR="00555FE9">
        <w:rPr>
          <w:b/>
        </w:rPr>
        <w:t>HARQ RTTs</w:t>
      </w:r>
      <w:r w:rsidR="00B83FD2">
        <w:rPr>
          <w:b/>
        </w:rPr>
        <w:t>,</w:t>
      </w:r>
      <w:r>
        <w:rPr>
          <w:b/>
        </w:rPr>
        <w:t xml:space="preserve"> </w:t>
      </w:r>
      <w:r w:rsidR="008C20BE">
        <w:rPr>
          <w:b/>
        </w:rPr>
        <w:t>non-</w:t>
      </w:r>
      <w:r w:rsidR="00CC589C">
        <w:rPr>
          <w:b/>
        </w:rPr>
        <w:t>negligible</w:t>
      </w:r>
      <w:r w:rsidR="008C20BE">
        <w:rPr>
          <w:b/>
        </w:rPr>
        <w:t xml:space="preserve"> </w:t>
      </w:r>
      <w:proofErr w:type="spellStart"/>
      <w:r w:rsidR="008C20BE">
        <w:rPr>
          <w:b/>
        </w:rPr>
        <w:t>fronthaul</w:t>
      </w:r>
      <w:proofErr w:type="spellEnd"/>
      <w:r w:rsidR="008C20BE">
        <w:rPr>
          <w:b/>
        </w:rPr>
        <w:t xml:space="preserve"> latencies, </w:t>
      </w:r>
      <w:r>
        <w:rPr>
          <w:b/>
        </w:rPr>
        <w:t>and Carrier Aggregation across carriers with possibl</w:t>
      </w:r>
      <w:r w:rsidR="00B83FD2">
        <w:rPr>
          <w:b/>
        </w:rPr>
        <w:t>y</w:t>
      </w:r>
      <w:r>
        <w:rPr>
          <w:b/>
        </w:rPr>
        <w:t xml:space="preserve"> different numerologies and sub-frame lengths. </w:t>
      </w:r>
    </w:p>
    <w:p w:rsidR="00FD5460" w:rsidRPr="007746E3" w:rsidRDefault="00AD56A2" w:rsidP="00AF6CF8">
      <w:pPr>
        <w:jc w:val="both"/>
        <w:rPr>
          <w:b/>
        </w:rPr>
      </w:pPr>
      <w:r>
        <w:rPr>
          <w:b/>
        </w:rPr>
        <w:t>Observation 2: Use of LTE method of Carrier Aggregation will force the HARQ retransmissions to be performed in the same carrier as the fresh transmission, resulting in poor performance for cm-wave/mm-wave cells whose LOS requirement might often result in temporary loss of connectivity.</w:t>
      </w:r>
    </w:p>
    <w:p w:rsidR="00CE157C" w:rsidRDefault="00CE157C" w:rsidP="00CE157C">
      <w:pPr>
        <w:pStyle w:val="Heading2"/>
      </w:pPr>
      <w:bookmarkStart w:id="2" w:name="_Ref458620404"/>
      <w:r>
        <w:t>2</w:t>
      </w:r>
      <w:r w:rsidRPr="006E13D1">
        <w:t>.</w:t>
      </w:r>
      <w:r>
        <w:t>2</w:t>
      </w:r>
      <w:r w:rsidRPr="006E13D1">
        <w:tab/>
      </w:r>
      <w:r w:rsidR="00E80A06">
        <w:t>HARQ Process pooling concept</w:t>
      </w:r>
      <w:bookmarkEnd w:id="2"/>
    </w:p>
    <w:p w:rsidR="0082274D" w:rsidRDefault="00D37103" w:rsidP="00AF6CF8">
      <w:pPr>
        <w:jc w:val="both"/>
      </w:pPr>
      <w:r>
        <w:t xml:space="preserve">We propose that a common pool of HARQ processes be maintained per UE across all the carriers that it is being served from. </w:t>
      </w:r>
      <w:r w:rsidR="00D96A9C">
        <w:t xml:space="preserve">This would allow for dynamic allocation of HARQ buffers per serving carrier, while keeping the total number of HARQ-processes-per-UE constant. When </w:t>
      </w:r>
      <w:r w:rsidR="00604C2B">
        <w:t>there is a centralized HARQ entity across all carriers</w:t>
      </w:r>
      <w:r w:rsidR="00D96A9C">
        <w:t xml:space="preserve">, the pool of HARQ processes allows picking the next available HARQ process dynamically for the transmission. When </w:t>
      </w:r>
      <w:r w:rsidR="00604C2B">
        <w:t>there is a separate HARQ entity per carrier</w:t>
      </w:r>
      <w:r w:rsidR="00BB3CAC">
        <w:t>,</w:t>
      </w:r>
      <w:r w:rsidR="00D96A9C">
        <w:t xml:space="preserve"> </w:t>
      </w:r>
      <w:r w:rsidR="00D069B3">
        <w:t xml:space="preserve">we </w:t>
      </w:r>
      <w:r w:rsidR="00D06BFE">
        <w:t xml:space="preserve">could use </w:t>
      </w:r>
      <w:r w:rsidR="00BB3CAC">
        <w:t xml:space="preserve">a </w:t>
      </w:r>
      <w:r w:rsidR="00D96A9C">
        <w:t xml:space="preserve">simple semi-static split </w:t>
      </w:r>
      <w:r w:rsidR="00604C2B">
        <w:t xml:space="preserve">of </w:t>
      </w:r>
      <w:r w:rsidR="00BB3CAC">
        <w:t xml:space="preserve">the pool of </w:t>
      </w:r>
      <w:r w:rsidR="00D96A9C">
        <w:t xml:space="preserve">HARQ </w:t>
      </w:r>
      <w:r w:rsidR="00BB3CAC">
        <w:t xml:space="preserve">processes </w:t>
      </w:r>
      <w:r w:rsidR="00604C2B">
        <w:t>and allocate non-overlapping HARQ processes to the different carriers and adapt to the</w:t>
      </w:r>
      <w:r w:rsidR="00BB3CAC">
        <w:t xml:space="preserve"> </w:t>
      </w:r>
      <w:r w:rsidR="00D96A9C">
        <w:t xml:space="preserve">different RTTs of the </w:t>
      </w:r>
      <w:r w:rsidR="00B53CA6">
        <w:t>carrier</w:t>
      </w:r>
      <w:r w:rsidR="00BB3CAC">
        <w:t>s</w:t>
      </w:r>
      <w:r w:rsidR="00B53CA6">
        <w:t xml:space="preserve">. </w:t>
      </w:r>
      <w:r w:rsidR="00D96A9C">
        <w:t xml:space="preserve"> </w:t>
      </w:r>
      <w:r w:rsidR="00B53CA6">
        <w:t xml:space="preserve">The semi-static partitioning of the pooled HARQ processes enables the </w:t>
      </w:r>
      <w:r w:rsidR="00604C2B">
        <w:t xml:space="preserve">HARQ entities </w:t>
      </w:r>
      <w:r w:rsidR="00B53CA6">
        <w:t xml:space="preserve">of the different carriers to operate independently with minimal interaction. </w:t>
      </w:r>
    </w:p>
    <w:p w:rsidR="00D37103" w:rsidRDefault="0082274D" w:rsidP="00AF6CF8">
      <w:pPr>
        <w:jc w:val="both"/>
        <w:rPr>
          <w:lang w:val="en-IN"/>
        </w:rPr>
      </w:pPr>
      <w:r>
        <w:t>HARQ process pooling c</w:t>
      </w:r>
      <w:r w:rsidRPr="0082274D">
        <w:t xml:space="preserve">an better accommodate time-varying HARQ RTT across multiple cells as </w:t>
      </w:r>
      <w:r w:rsidR="00D06BFE">
        <w:t xml:space="preserve">the </w:t>
      </w:r>
      <w:r w:rsidRPr="0082274D">
        <w:t>UE moves from the coverage of one cell to another</w:t>
      </w:r>
      <w:r>
        <w:t xml:space="preserve">. It </w:t>
      </w:r>
      <w:r w:rsidRPr="0082274D">
        <w:t>enables better HARQ memory management at the</w:t>
      </w:r>
      <w:r>
        <w:t xml:space="preserve"> UE when in multi-connectivity. Another advantage is that it allows the network to perform HARQ retransmissions from any carrier, independent of the carrier from which the prior transmissions/retransmissions were performed</w:t>
      </w:r>
      <w:r w:rsidR="006A384C">
        <w:t>, as illustrated in Fig. 2</w:t>
      </w:r>
      <w:r>
        <w:t xml:space="preserve">. </w:t>
      </w:r>
      <w:r w:rsidR="00D06BFE" w:rsidRPr="00D06BFE">
        <w:rPr>
          <w:lang w:val="en-IN"/>
        </w:rPr>
        <w:t xml:space="preserve">This is an important advantage in the context of </w:t>
      </w:r>
      <w:r w:rsidR="00D06BFE">
        <w:rPr>
          <w:lang w:val="en-IN"/>
        </w:rPr>
        <w:t>NR</w:t>
      </w:r>
      <w:r w:rsidR="00D06BFE" w:rsidRPr="00D06BFE">
        <w:rPr>
          <w:lang w:val="en-IN"/>
        </w:rPr>
        <w:t>,</w:t>
      </w:r>
      <w:r w:rsidR="00D06BFE">
        <w:rPr>
          <w:lang w:val="en-IN"/>
        </w:rPr>
        <w:t xml:space="preserve"> </w:t>
      </w:r>
      <w:r w:rsidR="00D06BFE" w:rsidRPr="00D06BFE">
        <w:rPr>
          <w:lang w:val="en-IN"/>
        </w:rPr>
        <w:t>given that the cm-wave and mm-wave cells require line-of</w:t>
      </w:r>
      <w:r w:rsidR="00D06BFE">
        <w:rPr>
          <w:lang w:val="en-IN"/>
        </w:rPr>
        <w:t xml:space="preserve"> </w:t>
      </w:r>
      <w:r w:rsidR="00D06BFE" w:rsidRPr="00D06BFE">
        <w:rPr>
          <w:lang w:val="en-IN"/>
        </w:rPr>
        <w:t>sight</w:t>
      </w:r>
      <w:r w:rsidR="00D06BFE">
        <w:rPr>
          <w:lang w:val="en-IN"/>
        </w:rPr>
        <w:t xml:space="preserve"> </w:t>
      </w:r>
      <w:r w:rsidR="001F0BFD">
        <w:rPr>
          <w:lang w:val="en-IN"/>
        </w:rPr>
        <w:t xml:space="preserve">(LOS) </w:t>
      </w:r>
      <w:r w:rsidR="00D06BFE" w:rsidRPr="00D06BFE">
        <w:rPr>
          <w:lang w:val="en-IN"/>
        </w:rPr>
        <w:t xml:space="preserve">operation and very fast cell switching to combat </w:t>
      </w:r>
      <w:r w:rsidR="001F0BFD">
        <w:rPr>
          <w:lang w:val="en-IN"/>
        </w:rPr>
        <w:t>blocking of the LOS path</w:t>
      </w:r>
      <w:r w:rsidR="00D06BFE" w:rsidRPr="00D06BFE">
        <w:rPr>
          <w:lang w:val="en-IN"/>
        </w:rPr>
        <w:t>.</w:t>
      </w:r>
      <w:r w:rsidR="00D06BFE">
        <w:rPr>
          <w:lang w:val="en-IN"/>
        </w:rPr>
        <w:t xml:space="preserve"> </w:t>
      </w:r>
    </w:p>
    <w:p w:rsidR="00301DDA" w:rsidRDefault="00A6655E" w:rsidP="00AF6CF8">
      <w:pPr>
        <w:jc w:val="both"/>
        <w:rPr>
          <w:lang w:val="en-IN"/>
        </w:rPr>
      </w:pPr>
      <w:r>
        <w:t>With the HARQ pooling concept, we expect that we can standardize the UE categories based on the number of HARQ processes that the UE can support, with higher category UEs being capable of supporting a larger number of HARQ processes.</w:t>
      </w:r>
    </w:p>
    <w:p w:rsidR="00B83FD2" w:rsidRDefault="00301DDA" w:rsidP="006A384C">
      <w:pPr>
        <w:keepNext/>
      </w:pPr>
      <w:r>
        <w:rPr>
          <w:noProof/>
          <w:lang w:val="en-US" w:eastAsia="zh-CN"/>
        </w:rPr>
        <w:lastRenderedPageBreak/>
        <w:drawing>
          <wp:inline distT="0" distB="0" distL="0" distR="0">
            <wp:extent cx="5459972" cy="2085035"/>
            <wp:effectExtent l="0" t="0" r="762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81189" cy="2093137"/>
                    </a:xfrm>
                    <a:prstGeom prst="rect">
                      <a:avLst/>
                    </a:prstGeom>
                    <a:noFill/>
                  </pic:spPr>
                </pic:pic>
              </a:graphicData>
            </a:graphic>
          </wp:inline>
        </w:drawing>
      </w:r>
    </w:p>
    <w:p w:rsidR="006A384C" w:rsidRPr="00725739" w:rsidRDefault="006A384C" w:rsidP="00AF6CF8">
      <w:pPr>
        <w:pStyle w:val="Caption"/>
        <w:rPr>
          <w:lang w:val="en-IN"/>
        </w:rPr>
      </w:pPr>
      <w:bookmarkStart w:id="3" w:name="_Ref458195810"/>
      <w:r>
        <w:t xml:space="preserve">Figure </w:t>
      </w:r>
      <w:bookmarkEnd w:id="3"/>
      <w:r>
        <w:t>2</w:t>
      </w:r>
      <w:r>
        <w:rPr>
          <w:lang w:val="en-US"/>
        </w:rPr>
        <w:t>: HARQ retransmission from a different cell than the cell from which the initial packet transmission is performed</w:t>
      </w:r>
    </w:p>
    <w:p w:rsidR="00D528F3" w:rsidRDefault="00D528F3" w:rsidP="00AF6CF8">
      <w:pPr>
        <w:jc w:val="both"/>
        <w:rPr>
          <w:strike/>
        </w:rPr>
      </w:pPr>
      <w:r>
        <w:t xml:space="preserve">In the case where the </w:t>
      </w:r>
      <w:proofErr w:type="spellStart"/>
      <w:r>
        <w:t>fronthaul</w:t>
      </w:r>
      <w:proofErr w:type="spellEnd"/>
      <w:r>
        <w:t xml:space="preserve"> latency is too large to be able to schedule the UE </w:t>
      </w:r>
      <w:r w:rsidR="00D33BD2">
        <w:t xml:space="preserve">in </w:t>
      </w:r>
      <w:r>
        <w:t xml:space="preserve">every TTI across all its carriers, it would be beneficial to use </w:t>
      </w:r>
      <w:r w:rsidR="00320742">
        <w:t xml:space="preserve">selectively </w:t>
      </w:r>
      <w:r>
        <w:t>more HARQ processes on that carrier that yields larger throughput for the UE. For instance, the UE may have 16 pooled HARQ processes with a HARQ RTT of 10 TTIs for each of the two component carriers. In one of the carriers, the given UE may be the only active</w:t>
      </w:r>
      <w:r w:rsidR="00AC6178">
        <w:t xml:space="preserve"> UE</w:t>
      </w:r>
      <w:r>
        <w:t>, and in the other carrier, let us say that there are two active UEs. In this case, it would be preferable to use 10 HARQ processes on the first carrier, and the remaining 6 on the second carrier</w:t>
      </w:r>
      <w:r w:rsidR="00D33BD2">
        <w:t xml:space="preserve"> to optimize system performance</w:t>
      </w:r>
      <w:r>
        <w:t xml:space="preserve">. </w:t>
      </w:r>
      <w:r w:rsidR="007C55BF">
        <w:t>Similarly, w</w:t>
      </w:r>
      <w:r>
        <w:t xml:space="preserve">e can optimize for the channel conditions and </w:t>
      </w:r>
      <w:r w:rsidR="00AC6178">
        <w:t xml:space="preserve">the </w:t>
      </w:r>
      <w:r>
        <w:t xml:space="preserve">SINR the UE experiences in the two carriers. </w:t>
      </w:r>
      <w:r w:rsidR="007C55BF">
        <w:t>T</w:t>
      </w:r>
      <w:r w:rsidR="007C55BF" w:rsidRPr="00586B33">
        <w:t xml:space="preserve">his benefit is accrued also in the case when the </w:t>
      </w:r>
      <w:proofErr w:type="spellStart"/>
      <w:r w:rsidR="007C55BF" w:rsidRPr="00586B33">
        <w:t>fronthaul</w:t>
      </w:r>
      <w:proofErr w:type="spellEnd"/>
      <w:r w:rsidR="007C55BF" w:rsidRPr="00586B33">
        <w:t xml:space="preserve"> latency is identical</w:t>
      </w:r>
      <w:r w:rsidR="007C55BF">
        <w:t xml:space="preserve"> across the carriers</w:t>
      </w:r>
      <w:r w:rsidR="007C55BF" w:rsidRPr="00586B33">
        <w:t xml:space="preserve">. </w:t>
      </w:r>
      <w:r>
        <w:t>We also note that the better carrier may change often depending on the channel conditions and</w:t>
      </w:r>
      <w:r w:rsidR="00AC6178">
        <w:t xml:space="preserve"> the</w:t>
      </w:r>
      <w:r>
        <w:t xml:space="preserve"> load </w:t>
      </w:r>
      <w:r w:rsidR="00586B33">
        <w:t>o</w:t>
      </w:r>
      <w:r>
        <w:t>n the two carriers.</w:t>
      </w:r>
      <w:r w:rsidR="007C55BF">
        <w:t xml:space="preserve"> Hence, the ability to reassign dynamically HARQ processes to carriers can be a very useful feature. </w:t>
      </w:r>
      <w:r>
        <w:t xml:space="preserve"> </w:t>
      </w:r>
    </w:p>
    <w:p w:rsidR="00700F7B" w:rsidRPr="0047562B" w:rsidRDefault="00586B33" w:rsidP="00AF6CF8">
      <w:pPr>
        <w:jc w:val="both"/>
      </w:pPr>
      <w:r w:rsidRPr="0047562B">
        <w:t>There are</w:t>
      </w:r>
      <w:r w:rsidR="00700F7B" w:rsidRPr="0047562B">
        <w:t xml:space="preserve"> two options for HARQ process pooling</w:t>
      </w:r>
      <w:r w:rsidR="00AA7254" w:rsidRPr="0047562B">
        <w:t xml:space="preserve"> that need to be evaluated further</w:t>
      </w:r>
      <w:r w:rsidR="00700F7B" w:rsidRPr="0047562B">
        <w:t>.</w:t>
      </w:r>
    </w:p>
    <w:p w:rsidR="00700F7B" w:rsidRPr="0047562B" w:rsidRDefault="00700F7B" w:rsidP="00AF6CF8">
      <w:pPr>
        <w:pStyle w:val="ListParagraph"/>
        <w:numPr>
          <w:ilvl w:val="0"/>
          <w:numId w:val="5"/>
        </w:numPr>
        <w:jc w:val="both"/>
        <w:rPr>
          <w:lang w:val="en-US"/>
        </w:rPr>
      </w:pPr>
      <w:r w:rsidRPr="0047562B">
        <w:rPr>
          <w:lang w:val="en-US"/>
        </w:rPr>
        <w:t>Pooling of both the soft memory and the HARQ processes</w:t>
      </w:r>
      <w:r w:rsidR="009709BA" w:rsidRPr="0047562B">
        <w:rPr>
          <w:lang w:val="en-US"/>
        </w:rPr>
        <w:t>:</w:t>
      </w:r>
      <w:r w:rsidRPr="0047562B">
        <w:rPr>
          <w:lang w:val="en-US"/>
        </w:rPr>
        <w:t xml:space="preserve"> This allows us to allocate the common HARQ buffer freely so that when the maximum number of carriers the UE is built to support is not in use, we could benefit from that soft buffer on another carrier and have</w:t>
      </w:r>
      <w:r w:rsidR="009709BA" w:rsidRPr="0047562B">
        <w:rPr>
          <w:lang w:val="en-US"/>
        </w:rPr>
        <w:t>,</w:t>
      </w:r>
      <w:r w:rsidRPr="0047562B">
        <w:rPr>
          <w:lang w:val="en-US"/>
        </w:rPr>
        <w:t xml:space="preserve"> for</w:t>
      </w:r>
      <w:r w:rsidR="009709BA" w:rsidRPr="0047562B">
        <w:rPr>
          <w:lang w:val="en-US"/>
        </w:rPr>
        <w:t xml:space="preserve"> example, </w:t>
      </w:r>
      <w:r w:rsidRPr="0047562B">
        <w:rPr>
          <w:lang w:val="en-US"/>
        </w:rPr>
        <w:t>a larger number of HARQ processes on the active carriers. If we are able to uniquely refer to the HARQ process identity across all carriers, then we are able to use the full flexibility (pool soft buffer and HARQ processes) to also retransmit HARQ packets across carriers and dynamically switch the HARQ processes used on the different carriers.</w:t>
      </w:r>
    </w:p>
    <w:p w:rsidR="00700F7B" w:rsidRPr="0047562B" w:rsidRDefault="00700F7B" w:rsidP="00AF6CF8">
      <w:pPr>
        <w:pStyle w:val="ListParagraph"/>
        <w:numPr>
          <w:ilvl w:val="0"/>
          <w:numId w:val="5"/>
        </w:numPr>
        <w:jc w:val="both"/>
        <w:rPr>
          <w:lang w:val="en-US"/>
        </w:rPr>
      </w:pPr>
      <w:r w:rsidRPr="0047562B">
        <w:rPr>
          <w:lang w:val="en-US"/>
        </w:rPr>
        <w:t>Pooling of the soft buffer and not the HARQ processes</w:t>
      </w:r>
      <w:r w:rsidR="009709BA" w:rsidRPr="0047562B">
        <w:rPr>
          <w:lang w:val="en-US"/>
        </w:rPr>
        <w:t>:</w:t>
      </w:r>
      <w:r w:rsidRPr="0047562B">
        <w:rPr>
          <w:lang w:val="en-US"/>
        </w:rPr>
        <w:t xml:space="preserve"> If we have </w:t>
      </w:r>
      <w:r w:rsidR="009709BA" w:rsidRPr="0047562B">
        <w:rPr>
          <w:lang w:val="en-US"/>
        </w:rPr>
        <w:t xml:space="preserve">a </w:t>
      </w:r>
      <w:r w:rsidRPr="0047562B">
        <w:rPr>
          <w:lang w:val="en-US"/>
        </w:rPr>
        <w:t>configurable number of HARQ processes per carrier that we inform the UE about, then we are only pooling the soft memory</w:t>
      </w:r>
      <w:r w:rsidR="009709BA" w:rsidRPr="0047562B">
        <w:rPr>
          <w:lang w:val="en-US"/>
        </w:rPr>
        <w:t xml:space="preserve"> and not the HARQ processes</w:t>
      </w:r>
      <w:r w:rsidRPr="0047562B">
        <w:rPr>
          <w:lang w:val="en-US"/>
        </w:rPr>
        <w:t xml:space="preserve">. </w:t>
      </w:r>
    </w:p>
    <w:p w:rsidR="00700F7B" w:rsidRPr="0047562B" w:rsidRDefault="00700F7B" w:rsidP="00AF6CF8">
      <w:pPr>
        <w:jc w:val="both"/>
        <w:rPr>
          <w:strike/>
        </w:rPr>
      </w:pPr>
    </w:p>
    <w:p w:rsidR="00E80A06" w:rsidRDefault="00E80A06" w:rsidP="00AF6CF8">
      <w:pPr>
        <w:jc w:val="both"/>
        <w:rPr>
          <w:b/>
        </w:rPr>
      </w:pPr>
      <w:r>
        <w:rPr>
          <w:b/>
        </w:rPr>
        <w:t>Proposal 1</w:t>
      </w:r>
      <w:r w:rsidRPr="001C7264">
        <w:rPr>
          <w:b/>
        </w:rPr>
        <w:t>: RAN</w:t>
      </w:r>
      <w:r w:rsidR="009F195F">
        <w:rPr>
          <w:b/>
        </w:rPr>
        <w:t>1</w:t>
      </w:r>
      <w:r w:rsidRPr="001C7264">
        <w:rPr>
          <w:b/>
        </w:rPr>
        <w:t xml:space="preserve"> shall study </w:t>
      </w:r>
      <w:r>
        <w:rPr>
          <w:b/>
        </w:rPr>
        <w:t xml:space="preserve">HARQ process pooling for NR </w:t>
      </w:r>
      <w:r w:rsidR="001D2FEB">
        <w:rPr>
          <w:b/>
        </w:rPr>
        <w:t>Carrier Aggregation</w:t>
      </w:r>
      <w:r>
        <w:rPr>
          <w:b/>
        </w:rPr>
        <w:t xml:space="preserve"> in the context of cloud RAN deployments with non-</w:t>
      </w:r>
      <w:r w:rsidR="00CC589C">
        <w:rPr>
          <w:b/>
        </w:rPr>
        <w:t>negligible</w:t>
      </w:r>
      <w:r w:rsidR="00D069B3">
        <w:rPr>
          <w:b/>
        </w:rPr>
        <w:t>, non-uniform</w:t>
      </w:r>
      <w:r>
        <w:rPr>
          <w:b/>
        </w:rPr>
        <w:t xml:space="preserve"> </w:t>
      </w:r>
      <w:proofErr w:type="spellStart"/>
      <w:r>
        <w:rPr>
          <w:b/>
        </w:rPr>
        <w:t>fronthaul</w:t>
      </w:r>
      <w:proofErr w:type="spellEnd"/>
      <w:r>
        <w:rPr>
          <w:b/>
        </w:rPr>
        <w:t xml:space="preserve"> latencies</w:t>
      </w:r>
      <w:r w:rsidR="00311F31">
        <w:rPr>
          <w:b/>
        </w:rPr>
        <w:t xml:space="preserve"> and/or variable processing times at the UE</w:t>
      </w:r>
      <w:r>
        <w:rPr>
          <w:b/>
        </w:rPr>
        <w:t xml:space="preserve">. </w:t>
      </w:r>
    </w:p>
    <w:p w:rsidR="00B505E5" w:rsidRDefault="00B505E5" w:rsidP="001B49C9">
      <w:pPr>
        <w:rPr>
          <w:b/>
        </w:rPr>
      </w:pPr>
    </w:p>
    <w:p w:rsidR="00B505E5" w:rsidRDefault="00B505E5" w:rsidP="00B505E5">
      <w:pPr>
        <w:pStyle w:val="Heading1"/>
      </w:pPr>
      <w:r w:rsidRPr="006E13D1">
        <w:t>3</w:t>
      </w:r>
      <w:r w:rsidRPr="006E13D1">
        <w:tab/>
      </w:r>
      <w:r>
        <w:t>Simulation Results</w:t>
      </w:r>
    </w:p>
    <w:p w:rsidR="00B505E5" w:rsidRDefault="00B505E5" w:rsidP="00AF6CF8">
      <w:pPr>
        <w:jc w:val="both"/>
        <w:rPr>
          <w:color w:val="000000"/>
        </w:rPr>
      </w:pPr>
      <w:r>
        <w:rPr>
          <w:color w:val="000000"/>
        </w:rPr>
        <w:t xml:space="preserve">In this section, we </w:t>
      </w:r>
      <w:r w:rsidR="00B7798A">
        <w:rPr>
          <w:color w:val="000000"/>
        </w:rPr>
        <w:t>quantify</w:t>
      </w:r>
      <w:r>
        <w:rPr>
          <w:color w:val="000000"/>
        </w:rPr>
        <w:t xml:space="preserve"> the performance </w:t>
      </w:r>
      <w:r w:rsidR="00D238EB">
        <w:rPr>
          <w:color w:val="000000"/>
        </w:rPr>
        <w:t xml:space="preserve">benefits </w:t>
      </w:r>
      <w:r>
        <w:rPr>
          <w:color w:val="000000"/>
        </w:rPr>
        <w:t xml:space="preserve">of HARQ pooling schemes </w:t>
      </w:r>
      <w:r w:rsidR="00D238EB">
        <w:rPr>
          <w:color w:val="000000"/>
        </w:rPr>
        <w:t>over a non-pooled</w:t>
      </w:r>
      <w:r>
        <w:rPr>
          <w:color w:val="000000"/>
        </w:rPr>
        <w:t xml:space="preserve"> baseline scheme using a system simulator</w:t>
      </w:r>
      <w:r w:rsidR="00156818">
        <w:rPr>
          <w:color w:val="000000"/>
        </w:rPr>
        <w:t>.</w:t>
      </w:r>
      <w:r>
        <w:rPr>
          <w:color w:val="000000"/>
        </w:rPr>
        <w:t xml:space="preserve"> </w:t>
      </w:r>
      <w:r w:rsidR="00156818">
        <w:rPr>
          <w:color w:val="000000"/>
        </w:rPr>
        <w:t xml:space="preserve">Though </w:t>
      </w:r>
      <w:r>
        <w:rPr>
          <w:color w:val="000000"/>
        </w:rPr>
        <w:t>LTE numerology</w:t>
      </w:r>
      <w:r w:rsidR="00156818">
        <w:rPr>
          <w:color w:val="000000"/>
        </w:rPr>
        <w:t xml:space="preserve"> is used, </w:t>
      </w:r>
      <w:r w:rsidR="00B7798A">
        <w:rPr>
          <w:color w:val="000000"/>
        </w:rPr>
        <w:t xml:space="preserve">we expect that </w:t>
      </w:r>
      <w:r w:rsidR="00156818">
        <w:rPr>
          <w:color w:val="000000"/>
        </w:rPr>
        <w:t>the</w:t>
      </w:r>
      <w:r>
        <w:rPr>
          <w:color w:val="000000"/>
        </w:rPr>
        <w:t xml:space="preserve"> conclusions </w:t>
      </w:r>
      <w:r w:rsidR="00B7798A">
        <w:rPr>
          <w:color w:val="000000"/>
        </w:rPr>
        <w:t xml:space="preserve">will be </w:t>
      </w:r>
      <w:r>
        <w:rPr>
          <w:color w:val="000000"/>
        </w:rPr>
        <w:t xml:space="preserve">valid for any </w:t>
      </w:r>
      <w:r w:rsidR="00156818">
        <w:rPr>
          <w:color w:val="000000"/>
        </w:rPr>
        <w:t>of the proposed 5G numerologies</w:t>
      </w:r>
      <w:r>
        <w:rPr>
          <w:color w:val="000000"/>
        </w:rPr>
        <w:t xml:space="preserve">. In our simulations, we assume </w:t>
      </w:r>
      <w:r w:rsidR="00156818">
        <w:rPr>
          <w:color w:val="000000"/>
        </w:rPr>
        <w:t xml:space="preserve">that a </w:t>
      </w:r>
      <w:r>
        <w:rPr>
          <w:color w:val="000000"/>
        </w:rPr>
        <w:t xml:space="preserve">UE is served by </w:t>
      </w:r>
      <w:r w:rsidR="00D238EB" w:rsidRPr="00AF6CF8">
        <w:rPr>
          <w:color w:val="000000"/>
        </w:rPr>
        <w:t>two</w:t>
      </w:r>
      <w:r w:rsidR="00D238EB">
        <w:rPr>
          <w:color w:val="000000"/>
        </w:rPr>
        <w:t xml:space="preserve"> carriers for simplicity</w:t>
      </w:r>
      <w:r w:rsidR="00B7798A">
        <w:rPr>
          <w:color w:val="000000"/>
        </w:rPr>
        <w:t>, even though the</w:t>
      </w:r>
      <w:r w:rsidR="00D238EB">
        <w:rPr>
          <w:color w:val="000000"/>
        </w:rPr>
        <w:t xml:space="preserve"> scheme</w:t>
      </w:r>
      <w:r w:rsidR="00B7798A">
        <w:rPr>
          <w:color w:val="000000"/>
        </w:rPr>
        <w:t xml:space="preserve"> also applies for carrier aggregation with more than 2 carriers</w:t>
      </w:r>
      <w:r w:rsidR="00D238EB">
        <w:rPr>
          <w:color w:val="000000"/>
        </w:rPr>
        <w:t xml:space="preserve">. </w:t>
      </w:r>
      <w:r w:rsidR="00156818">
        <w:rPr>
          <w:color w:val="000000"/>
        </w:rPr>
        <w:t>W</w:t>
      </w:r>
      <w:r>
        <w:rPr>
          <w:color w:val="000000"/>
        </w:rPr>
        <w:t>e consider a</w:t>
      </w:r>
      <w:r w:rsidR="00B7798A">
        <w:rPr>
          <w:color w:val="000000"/>
        </w:rPr>
        <w:t>n LTE</w:t>
      </w:r>
      <w:r>
        <w:rPr>
          <w:color w:val="000000"/>
        </w:rPr>
        <w:t xml:space="preserve"> </w:t>
      </w:r>
      <w:r w:rsidR="00B7798A">
        <w:rPr>
          <w:color w:val="000000"/>
        </w:rPr>
        <w:t>C</w:t>
      </w:r>
      <w:r w:rsidR="00D238EB">
        <w:rPr>
          <w:color w:val="000000"/>
        </w:rPr>
        <w:t>ase 1</w:t>
      </w:r>
      <w:r w:rsidR="00B7798A">
        <w:rPr>
          <w:color w:val="000000"/>
        </w:rPr>
        <w:t>,</w:t>
      </w:r>
      <w:r w:rsidR="00D238EB">
        <w:rPr>
          <w:color w:val="000000"/>
        </w:rPr>
        <w:t xml:space="preserve"> </w:t>
      </w:r>
      <w:proofErr w:type="spellStart"/>
      <w:r w:rsidR="00D238EB">
        <w:rPr>
          <w:color w:val="000000"/>
        </w:rPr>
        <w:t>U</w:t>
      </w:r>
      <w:r w:rsidR="00156818">
        <w:rPr>
          <w:color w:val="000000"/>
        </w:rPr>
        <w:t>Ma</w:t>
      </w:r>
      <w:proofErr w:type="spellEnd"/>
      <w:r w:rsidR="00156818">
        <w:rPr>
          <w:color w:val="000000"/>
        </w:rPr>
        <w:t xml:space="preserve"> </w:t>
      </w:r>
      <w:r w:rsidR="00D238EB">
        <w:rPr>
          <w:color w:val="000000"/>
        </w:rPr>
        <w:t>21-</w:t>
      </w:r>
      <w:r>
        <w:rPr>
          <w:color w:val="000000"/>
        </w:rPr>
        <w:t xml:space="preserve">cell </w:t>
      </w:r>
      <w:r w:rsidR="00D238EB">
        <w:rPr>
          <w:color w:val="000000"/>
        </w:rPr>
        <w:t xml:space="preserve">layout with </w:t>
      </w:r>
      <w:r>
        <w:rPr>
          <w:color w:val="000000"/>
        </w:rPr>
        <w:t>wr</w:t>
      </w:r>
      <w:r w:rsidR="00D238EB">
        <w:rPr>
          <w:color w:val="000000"/>
        </w:rPr>
        <w:t>ap-around</w:t>
      </w:r>
      <w:r>
        <w:rPr>
          <w:color w:val="000000"/>
        </w:rPr>
        <w:t xml:space="preserve">, with two different carrier frequencies serving the coverage area of each cell. </w:t>
      </w:r>
      <w:r w:rsidR="00156818">
        <w:rPr>
          <w:color w:val="000000"/>
        </w:rPr>
        <w:t xml:space="preserve">The UE is configured to </w:t>
      </w:r>
      <w:r>
        <w:rPr>
          <w:color w:val="000000"/>
        </w:rPr>
        <w:t xml:space="preserve">experience </w:t>
      </w:r>
      <w:r w:rsidR="00156818">
        <w:rPr>
          <w:color w:val="000000"/>
        </w:rPr>
        <w:t>different</w:t>
      </w:r>
      <w:r>
        <w:rPr>
          <w:color w:val="000000"/>
        </w:rPr>
        <w:t xml:space="preserve"> round trip times</w:t>
      </w:r>
      <w:r w:rsidR="00156818">
        <w:rPr>
          <w:color w:val="000000"/>
        </w:rPr>
        <w:t xml:space="preserve"> on the two carriers</w:t>
      </w:r>
      <w:r>
        <w:rPr>
          <w:color w:val="000000"/>
        </w:rPr>
        <w:t xml:space="preserve">. </w:t>
      </w:r>
      <w:r w:rsidR="00156818">
        <w:rPr>
          <w:color w:val="000000"/>
        </w:rPr>
        <w:t xml:space="preserve">The </w:t>
      </w:r>
      <w:r>
        <w:rPr>
          <w:color w:val="000000"/>
        </w:rPr>
        <w:t xml:space="preserve">UEs experience distance-dependent </w:t>
      </w:r>
      <w:proofErr w:type="spellStart"/>
      <w:r>
        <w:rPr>
          <w:color w:val="000000"/>
        </w:rPr>
        <w:t>pathloss</w:t>
      </w:r>
      <w:proofErr w:type="spellEnd"/>
      <w:r>
        <w:rPr>
          <w:color w:val="000000"/>
        </w:rPr>
        <w:t>, shadow fading, and fast fading as per commonly-used simulation assumptions</w:t>
      </w:r>
      <w:r w:rsidR="00156818">
        <w:rPr>
          <w:color w:val="000000"/>
        </w:rPr>
        <w:t xml:space="preserve">, as </w:t>
      </w:r>
      <w:r>
        <w:rPr>
          <w:color w:val="000000"/>
        </w:rPr>
        <w:t>mentioned in Table-I.</w:t>
      </w:r>
    </w:p>
    <w:p w:rsidR="00CA696A" w:rsidRDefault="00B505E5" w:rsidP="00AF6CF8">
      <w:pPr>
        <w:jc w:val="both"/>
      </w:pPr>
      <w:r>
        <w:rPr>
          <w:color w:val="000000"/>
        </w:rPr>
        <w:t xml:space="preserve">The baseline scheme we use for comparison is the </w:t>
      </w:r>
      <w:r w:rsidRPr="002B1033">
        <w:rPr>
          <w:color w:val="000000"/>
        </w:rPr>
        <w:t>LTE</w:t>
      </w:r>
      <w:r>
        <w:rPr>
          <w:color w:val="000000"/>
        </w:rPr>
        <w:t xml:space="preserve"> method of using separate and fixed eight </w:t>
      </w:r>
      <w:r w:rsidRPr="002B1033">
        <w:rPr>
          <w:color w:val="000000"/>
        </w:rPr>
        <w:t>HARQ</w:t>
      </w:r>
      <w:r>
        <w:rPr>
          <w:color w:val="000000"/>
        </w:rPr>
        <w:t xml:space="preserve"> processes per carrier independent of the </w:t>
      </w:r>
      <w:r w:rsidRPr="002B1033">
        <w:rPr>
          <w:color w:val="000000"/>
        </w:rPr>
        <w:t>HARQ</w:t>
      </w:r>
      <w:r>
        <w:rPr>
          <w:color w:val="000000"/>
        </w:rPr>
        <w:t xml:space="preserve"> </w:t>
      </w:r>
      <w:r w:rsidRPr="002B1033">
        <w:rPr>
          <w:color w:val="000000"/>
        </w:rPr>
        <w:t>RTT</w:t>
      </w:r>
      <w:r w:rsidR="00D238EB">
        <w:rPr>
          <w:color w:val="000000"/>
        </w:rPr>
        <w:t xml:space="preserve"> on each carrier</w:t>
      </w:r>
      <w:r>
        <w:rPr>
          <w:color w:val="000000"/>
        </w:rPr>
        <w:t xml:space="preserve">. </w:t>
      </w:r>
      <w:r w:rsidRPr="002B1033">
        <w:rPr>
          <w:color w:val="000000"/>
        </w:rPr>
        <w:t>We refer to this scheme as the</w:t>
      </w:r>
      <w:r w:rsidRPr="002B1033">
        <w:rPr>
          <w:i/>
          <w:color w:val="000000"/>
        </w:rPr>
        <w:t xml:space="preserve"> LTE baseline scheme</w:t>
      </w:r>
      <w:r>
        <w:rPr>
          <w:color w:val="000000"/>
        </w:rPr>
        <w:t xml:space="preserve">. We compare two </w:t>
      </w:r>
      <w:r w:rsidR="009E467F">
        <w:rPr>
          <w:color w:val="000000"/>
        </w:rPr>
        <w:t>schemes</w:t>
      </w:r>
      <w:r>
        <w:rPr>
          <w:color w:val="000000"/>
        </w:rPr>
        <w:t xml:space="preserve"> of semi-static partitioning of the pooled </w:t>
      </w:r>
      <w:r w:rsidRPr="00AF6CF8">
        <w:rPr>
          <w:color w:val="000000"/>
        </w:rPr>
        <w:t>HARQ</w:t>
      </w:r>
      <w:r>
        <w:rPr>
          <w:color w:val="000000"/>
        </w:rPr>
        <w:t xml:space="preserve"> processes. </w:t>
      </w:r>
      <w:r w:rsidR="009E467F">
        <w:rPr>
          <w:color w:val="000000"/>
        </w:rPr>
        <w:t xml:space="preserve">In the first scheme the </w:t>
      </w:r>
      <w:r w:rsidR="009E467F" w:rsidRPr="00380D81">
        <w:rPr>
          <w:color w:val="000000"/>
        </w:rPr>
        <w:t>HARQ</w:t>
      </w:r>
      <w:r w:rsidR="009E467F">
        <w:rPr>
          <w:color w:val="000000"/>
        </w:rPr>
        <w:t xml:space="preserve"> processes are allocated to carriers in the increasing order of their respective </w:t>
      </w:r>
      <w:r w:rsidR="009E467F" w:rsidRPr="00380D81">
        <w:rPr>
          <w:color w:val="000000"/>
        </w:rPr>
        <w:t>RTTs</w:t>
      </w:r>
      <w:r w:rsidR="009E467F">
        <w:rPr>
          <w:color w:val="000000"/>
        </w:rPr>
        <w:t xml:space="preserve">, but with the </w:t>
      </w:r>
      <w:r w:rsidR="00B7798A">
        <w:rPr>
          <w:color w:val="000000"/>
        </w:rPr>
        <w:t xml:space="preserve">number of HARQ processes </w:t>
      </w:r>
      <w:r w:rsidR="009E467F">
        <w:rPr>
          <w:color w:val="000000"/>
        </w:rPr>
        <w:t>allocat</w:t>
      </w:r>
      <w:r w:rsidR="00B7798A">
        <w:rPr>
          <w:color w:val="000000"/>
        </w:rPr>
        <w:t>ed to any carrier</w:t>
      </w:r>
      <w:r w:rsidR="009E467F">
        <w:rPr>
          <w:color w:val="000000"/>
        </w:rPr>
        <w:t xml:space="preserve"> not exceeding the </w:t>
      </w:r>
      <w:r w:rsidR="009E467F" w:rsidRPr="00380D81">
        <w:rPr>
          <w:color w:val="000000"/>
        </w:rPr>
        <w:t>RTT</w:t>
      </w:r>
      <w:r w:rsidR="009E467F">
        <w:rPr>
          <w:color w:val="000000"/>
        </w:rPr>
        <w:t xml:space="preserve"> value</w:t>
      </w:r>
      <w:r w:rsidR="00B7798A">
        <w:rPr>
          <w:color w:val="000000"/>
        </w:rPr>
        <w:t xml:space="preserve"> (expressed as a multiple of the TTI length)</w:t>
      </w:r>
      <w:r w:rsidR="009E467F">
        <w:rPr>
          <w:color w:val="000000"/>
        </w:rPr>
        <w:t xml:space="preserve"> of the </w:t>
      </w:r>
      <w:r w:rsidR="009E467F">
        <w:rPr>
          <w:color w:val="000000"/>
        </w:rPr>
        <w:lastRenderedPageBreak/>
        <w:t xml:space="preserve">respective carrier, until all the available HARQ processes are exhausted. </w:t>
      </w:r>
      <w:r w:rsidR="00D238EB">
        <w:rPr>
          <w:color w:val="000000"/>
        </w:rPr>
        <w:t>The</w:t>
      </w:r>
      <w:r>
        <w:rPr>
          <w:color w:val="000000"/>
        </w:rPr>
        <w:t xml:space="preserve"> </w:t>
      </w:r>
      <w:r w:rsidR="009E467F">
        <w:rPr>
          <w:color w:val="000000"/>
        </w:rPr>
        <w:t>second</w:t>
      </w:r>
      <w:r w:rsidR="00D238EB">
        <w:rPr>
          <w:color w:val="000000"/>
        </w:rPr>
        <w:t xml:space="preserve"> </w:t>
      </w:r>
      <w:r w:rsidR="009E467F">
        <w:rPr>
          <w:color w:val="000000"/>
        </w:rPr>
        <w:t xml:space="preserve">(optimal) scheme </w:t>
      </w:r>
      <w:r>
        <w:rPr>
          <w:color w:val="000000"/>
        </w:rPr>
        <w:t>uses the ratio of average TBS (Transport Block Size</w:t>
      </w:r>
      <w:r w:rsidR="000D3F16">
        <w:rPr>
          <w:color w:val="000000"/>
        </w:rPr>
        <w:t>) achievable</w:t>
      </w:r>
      <w:r>
        <w:rPr>
          <w:color w:val="000000"/>
        </w:rPr>
        <w:t xml:space="preserve"> on </w:t>
      </w:r>
      <w:r w:rsidR="009E467F">
        <w:rPr>
          <w:color w:val="000000"/>
        </w:rPr>
        <w:t>the given carrier</w:t>
      </w:r>
      <w:r>
        <w:rPr>
          <w:color w:val="000000"/>
        </w:rPr>
        <w:t xml:space="preserve"> to </w:t>
      </w:r>
      <w:r w:rsidR="009E467F">
        <w:rPr>
          <w:color w:val="000000"/>
        </w:rPr>
        <w:t xml:space="preserve">its </w:t>
      </w:r>
      <w:r>
        <w:rPr>
          <w:color w:val="000000"/>
        </w:rPr>
        <w:t xml:space="preserve">respective RTT as </w:t>
      </w:r>
      <w:r w:rsidR="009E467F">
        <w:rPr>
          <w:color w:val="000000"/>
        </w:rPr>
        <w:t xml:space="preserve">the </w:t>
      </w:r>
      <w:r>
        <w:rPr>
          <w:color w:val="000000"/>
        </w:rPr>
        <w:t>metric</w:t>
      </w:r>
      <w:r w:rsidR="009E467F">
        <w:rPr>
          <w:color w:val="000000"/>
        </w:rPr>
        <w:t xml:space="preserve">. The </w:t>
      </w:r>
      <w:r w:rsidRPr="00380D81">
        <w:rPr>
          <w:color w:val="000000"/>
        </w:rPr>
        <w:t>HARQ</w:t>
      </w:r>
      <w:r>
        <w:rPr>
          <w:color w:val="000000"/>
        </w:rPr>
        <w:t xml:space="preserve"> processes are allocated to carriers in the descending order of their average </w:t>
      </w:r>
      <w:r w:rsidRPr="00380D81">
        <w:rPr>
          <w:color w:val="000000"/>
        </w:rPr>
        <w:t>TBS</w:t>
      </w:r>
      <w:r>
        <w:rPr>
          <w:color w:val="000000"/>
        </w:rPr>
        <w:t xml:space="preserve"> to </w:t>
      </w:r>
      <w:r w:rsidRPr="00380D81">
        <w:rPr>
          <w:color w:val="000000"/>
        </w:rPr>
        <w:t>RTT</w:t>
      </w:r>
      <w:r>
        <w:rPr>
          <w:color w:val="000000"/>
        </w:rPr>
        <w:t xml:space="preserve"> ratio </w:t>
      </w:r>
      <w:r w:rsidR="009E467F">
        <w:rPr>
          <w:color w:val="000000"/>
        </w:rPr>
        <w:t>(</w:t>
      </w:r>
      <w:r>
        <w:rPr>
          <w:color w:val="000000"/>
        </w:rPr>
        <w:t xml:space="preserve">up to a maximum </w:t>
      </w:r>
      <w:r w:rsidR="000D3F16">
        <w:rPr>
          <w:color w:val="000000"/>
        </w:rPr>
        <w:t>of RTT</w:t>
      </w:r>
      <w:r w:rsidR="009E467F">
        <w:rPr>
          <w:color w:val="000000"/>
        </w:rPr>
        <w:t xml:space="preserve"> for each carrier)</w:t>
      </w:r>
      <w:r w:rsidR="000D3F16">
        <w:rPr>
          <w:color w:val="000000"/>
        </w:rPr>
        <w:t xml:space="preserve">, </w:t>
      </w:r>
      <w:r w:rsidR="009E467F">
        <w:rPr>
          <w:color w:val="000000"/>
        </w:rPr>
        <w:t>until</w:t>
      </w:r>
      <w:r>
        <w:rPr>
          <w:color w:val="000000"/>
        </w:rPr>
        <w:t xml:space="preserve"> all the </w:t>
      </w:r>
      <w:r w:rsidR="009E467F">
        <w:rPr>
          <w:color w:val="000000"/>
        </w:rPr>
        <w:t xml:space="preserve">available </w:t>
      </w:r>
      <w:r>
        <w:rPr>
          <w:color w:val="000000"/>
        </w:rPr>
        <w:t>HARQ processes are exhausted.</w:t>
      </w:r>
      <w:r w:rsidR="00CA696A">
        <w:t xml:space="preserve">            </w:t>
      </w:r>
    </w:p>
    <w:p w:rsidR="008F0BFB" w:rsidRDefault="008F0BFB" w:rsidP="00AF6CF8">
      <w:pPr>
        <w:jc w:val="both"/>
      </w:pPr>
    </w:p>
    <w:p w:rsidR="00AF0EBA" w:rsidRDefault="00AF0EBA">
      <w:pPr>
        <w:keepNext/>
        <w:jc w:val="center"/>
      </w:pPr>
      <w:r>
        <w:rPr>
          <w:noProof/>
          <w:lang w:val="en-US" w:eastAsia="zh-CN"/>
        </w:rPr>
        <w:drawing>
          <wp:inline distT="0" distB="0" distL="0" distR="0">
            <wp:extent cx="3458512" cy="1995805"/>
            <wp:effectExtent l="0" t="0" r="889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70234" cy="2002569"/>
                    </a:xfrm>
                    <a:prstGeom prst="rect">
                      <a:avLst/>
                    </a:prstGeom>
                    <a:noFill/>
                  </pic:spPr>
                </pic:pic>
              </a:graphicData>
            </a:graphic>
          </wp:inline>
        </w:drawing>
      </w:r>
    </w:p>
    <w:p w:rsidR="00AF0EBA" w:rsidRDefault="00AF0EBA" w:rsidP="00AF6CF8">
      <w:pPr>
        <w:keepNext/>
        <w:jc w:val="center"/>
      </w:pPr>
      <w:r>
        <w:t xml:space="preserve">Figure </w:t>
      </w:r>
      <w:r w:rsidR="004405D6">
        <w:t>3</w:t>
      </w:r>
      <w:r>
        <w:t>:</w:t>
      </w:r>
      <w:r w:rsidRPr="00AF6CF8">
        <w:t xml:space="preserve"> Impact of (</w:t>
      </w:r>
      <w:r w:rsidRPr="00AF6CF8">
        <w:rPr>
          <w:rFonts w:hint="eastAsia"/>
          <w:i/>
          <w:iCs/>
        </w:rPr>
        <w:t>τ</w:t>
      </w:r>
      <w:r w:rsidRPr="00AF6CF8">
        <w:rPr>
          <w:i/>
          <w:iCs/>
          <w:vertAlign w:val="subscript"/>
        </w:rPr>
        <w:t>1</w:t>
      </w:r>
      <w:r w:rsidRPr="00AF6CF8">
        <w:rPr>
          <w:i/>
          <w:iCs/>
        </w:rPr>
        <w:t>,</w:t>
      </w:r>
      <w:r>
        <w:rPr>
          <w:i/>
          <w:iCs/>
        </w:rPr>
        <w:t xml:space="preserve"> </w:t>
      </w:r>
      <w:r w:rsidRPr="00AF6CF8">
        <w:rPr>
          <w:rFonts w:hint="eastAsia"/>
          <w:i/>
          <w:iCs/>
        </w:rPr>
        <w:t>τ</w:t>
      </w:r>
      <w:r w:rsidRPr="00AF6CF8">
        <w:rPr>
          <w:i/>
          <w:iCs/>
          <w:vertAlign w:val="subscript"/>
        </w:rPr>
        <w:t>2</w:t>
      </w:r>
      <w:r w:rsidRPr="00AF6CF8">
        <w:t>) and the number of UEs per cell on the performance</w:t>
      </w:r>
    </w:p>
    <w:p w:rsidR="00B45413" w:rsidRDefault="00B45413" w:rsidP="00B45413">
      <w:pPr>
        <w:jc w:val="both"/>
      </w:pPr>
      <w:r>
        <w:rPr>
          <w:color w:val="000000"/>
        </w:rPr>
        <w:t xml:space="preserve">In Figure 3, we plot the percentage gain in the geometric mean of the UE throughputs of the optimal HARQ pooling scheme over the LTE-baseline scheme as a function of different combinations of RTT values of the two carriers and for different number of UEs per cell. </w:t>
      </w:r>
      <w:r w:rsidR="00B24975">
        <w:rPr>
          <w:color w:val="000000"/>
        </w:rPr>
        <w:t>As expected, w</w:t>
      </w:r>
      <w:r>
        <w:rPr>
          <w:color w:val="000000"/>
        </w:rPr>
        <w:t xml:space="preserve">e find that the larger the imbalance between the RTTs of the two carriers, </w:t>
      </w:r>
      <w:r w:rsidR="00B24975">
        <w:rPr>
          <w:color w:val="000000"/>
        </w:rPr>
        <w:t xml:space="preserve">the larger the gain. </w:t>
      </w:r>
      <w:r w:rsidR="002A1511">
        <w:rPr>
          <w:color w:val="000000"/>
        </w:rPr>
        <w:t>We also observe that</w:t>
      </w:r>
      <w:r>
        <w:rPr>
          <w:color w:val="000000"/>
        </w:rPr>
        <w:t xml:space="preserve"> </w:t>
      </w:r>
      <w:r w:rsidR="002A1511">
        <w:rPr>
          <w:color w:val="000000"/>
        </w:rPr>
        <w:t xml:space="preserve">the </w:t>
      </w:r>
      <w:r>
        <w:rPr>
          <w:color w:val="000000"/>
        </w:rPr>
        <w:t xml:space="preserve">gains are the largest </w:t>
      </w:r>
      <w:r w:rsidR="002A1511">
        <w:rPr>
          <w:color w:val="000000"/>
        </w:rPr>
        <w:t>with lesser number of active UEs per cell.</w:t>
      </w:r>
      <w:r>
        <w:rPr>
          <w:color w:val="000000"/>
        </w:rPr>
        <w:t xml:space="preserve"> </w:t>
      </w:r>
      <w:r w:rsidR="002A1511">
        <w:rPr>
          <w:color w:val="000000"/>
        </w:rPr>
        <w:t xml:space="preserve">This could be due to two reasons: 1) </w:t>
      </w:r>
      <w:r>
        <w:rPr>
          <w:color w:val="000000"/>
        </w:rPr>
        <w:t xml:space="preserve">HARQ stall </w:t>
      </w:r>
      <w:r w:rsidR="002A1511">
        <w:rPr>
          <w:color w:val="000000"/>
        </w:rPr>
        <w:t>occurrence on the</w:t>
      </w:r>
      <w:r>
        <w:rPr>
          <w:color w:val="000000"/>
        </w:rPr>
        <w:t xml:space="preserve"> few active UEs </w:t>
      </w:r>
      <w:r w:rsidR="002A1511">
        <w:rPr>
          <w:color w:val="000000"/>
        </w:rPr>
        <w:t>could</w:t>
      </w:r>
      <w:r>
        <w:rPr>
          <w:color w:val="000000"/>
        </w:rPr>
        <w:t xml:space="preserve"> result in the entire TTI being unused. </w:t>
      </w:r>
      <w:r w:rsidR="002A1511">
        <w:rPr>
          <w:color w:val="000000"/>
        </w:rPr>
        <w:t>2)</w:t>
      </w:r>
      <w:r>
        <w:rPr>
          <w:color w:val="000000"/>
        </w:rPr>
        <w:t xml:space="preserve"> </w:t>
      </w:r>
      <w:r w:rsidR="002A1511">
        <w:rPr>
          <w:color w:val="000000"/>
        </w:rPr>
        <w:t xml:space="preserve">With larger number of </w:t>
      </w:r>
      <w:r>
        <w:rPr>
          <w:color w:val="000000"/>
        </w:rPr>
        <w:t xml:space="preserve">active </w:t>
      </w:r>
      <w:r w:rsidRPr="008575AD">
        <w:rPr>
          <w:color w:val="000000"/>
        </w:rPr>
        <w:t>UEs</w:t>
      </w:r>
      <w:r>
        <w:rPr>
          <w:color w:val="000000"/>
        </w:rPr>
        <w:t xml:space="preserve"> </w:t>
      </w:r>
      <w:r w:rsidR="002A1511">
        <w:rPr>
          <w:color w:val="000000"/>
        </w:rPr>
        <w:t>per cell</w:t>
      </w:r>
      <w:r>
        <w:rPr>
          <w:color w:val="000000"/>
        </w:rPr>
        <w:t xml:space="preserve">, even when some of the </w:t>
      </w:r>
      <w:r w:rsidRPr="008575AD">
        <w:rPr>
          <w:color w:val="000000"/>
        </w:rPr>
        <w:t>UEs</w:t>
      </w:r>
      <w:r>
        <w:rPr>
          <w:color w:val="000000"/>
        </w:rPr>
        <w:t xml:space="preserve"> are in </w:t>
      </w:r>
      <w:r w:rsidRPr="008575AD">
        <w:rPr>
          <w:color w:val="000000"/>
        </w:rPr>
        <w:t>HARQ</w:t>
      </w:r>
      <w:r>
        <w:rPr>
          <w:color w:val="000000"/>
        </w:rPr>
        <w:t xml:space="preserve"> stall, there would be other </w:t>
      </w:r>
      <w:r w:rsidRPr="008575AD">
        <w:rPr>
          <w:color w:val="000000"/>
        </w:rPr>
        <w:t>UEs</w:t>
      </w:r>
      <w:r>
        <w:rPr>
          <w:color w:val="000000"/>
        </w:rPr>
        <w:t xml:space="preserve"> that can be scheduled. </w:t>
      </w:r>
    </w:p>
    <w:p w:rsidR="00B45413" w:rsidRDefault="00B45413" w:rsidP="00AF6CF8">
      <w:pPr>
        <w:keepNext/>
        <w:jc w:val="center"/>
        <w:rPr>
          <w:lang w:val="en-US"/>
        </w:rPr>
      </w:pPr>
    </w:p>
    <w:p w:rsidR="002D7146" w:rsidRPr="00AF6CF8" w:rsidRDefault="00524A4A" w:rsidP="00AF6CF8">
      <w:pPr>
        <w:keepNext/>
        <w:jc w:val="center"/>
        <w:rPr>
          <w:lang w:val="en-US"/>
        </w:rPr>
      </w:pPr>
      <w:r>
        <w:rPr>
          <w:noProof/>
          <w:lang w:val="en-US" w:eastAsia="zh-CN"/>
        </w:rPr>
        <w:drawing>
          <wp:inline distT="0" distB="0" distL="0" distR="0">
            <wp:extent cx="3433848" cy="2245001"/>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75227" cy="2272054"/>
                    </a:xfrm>
                    <a:prstGeom prst="rect">
                      <a:avLst/>
                    </a:prstGeom>
                    <a:noFill/>
                  </pic:spPr>
                </pic:pic>
              </a:graphicData>
            </a:graphic>
          </wp:inline>
        </w:drawing>
      </w:r>
    </w:p>
    <w:p w:rsidR="00B45413" w:rsidRPr="00AF6CF8" w:rsidRDefault="00CA696A" w:rsidP="00AF6CF8">
      <w:pPr>
        <w:autoSpaceDE w:val="0"/>
        <w:autoSpaceDN w:val="0"/>
        <w:adjustRightInd w:val="0"/>
        <w:spacing w:after="0"/>
        <w:rPr>
          <w:rFonts w:ascii="NimbusRomNo9L-Regu" w:hAnsi="NimbusRomNo9L-Regu" w:cs="NimbusRomNo9L-Regu"/>
          <w:lang w:val="en-IN" w:eastAsia="en-GB" w:bidi="kn-IN"/>
        </w:rPr>
      </w:pPr>
      <w:r w:rsidRPr="004405D6">
        <w:t xml:space="preserve">Figure </w:t>
      </w:r>
      <w:r w:rsidR="004405D6">
        <w:t>4</w:t>
      </w:r>
      <w:r w:rsidRPr="004405D6">
        <w:rPr>
          <w:lang w:val="en-US"/>
        </w:rPr>
        <w:t xml:space="preserve">: </w:t>
      </w:r>
      <w:r w:rsidR="00AF0EBA" w:rsidRPr="004405D6">
        <w:rPr>
          <w:lang w:val="en-US"/>
        </w:rPr>
        <w:t xml:space="preserve">Comparison of </w:t>
      </w:r>
      <w:r w:rsidR="004405D6" w:rsidRPr="004405D6">
        <w:rPr>
          <w:lang w:val="en-US"/>
        </w:rPr>
        <w:t xml:space="preserve">the </w:t>
      </w:r>
      <w:r w:rsidR="00AF0EBA" w:rsidRPr="00AF6CF8">
        <w:rPr>
          <w:lang w:val="en-US"/>
        </w:rPr>
        <w:t xml:space="preserve">HARQ pooling performance for the two </w:t>
      </w:r>
      <w:r w:rsidR="004405D6" w:rsidRPr="00AF6CF8">
        <w:rPr>
          <w:lang w:val="en-US"/>
        </w:rPr>
        <w:t xml:space="preserve">proposed </w:t>
      </w:r>
      <w:r w:rsidR="00AF0EBA" w:rsidRPr="00AF6CF8">
        <w:rPr>
          <w:lang w:val="en-US"/>
        </w:rPr>
        <w:t xml:space="preserve">schemes for different combinations of </w:t>
      </w:r>
      <w:r w:rsidR="004405D6" w:rsidRPr="00AF6CF8">
        <w:rPr>
          <w:lang w:val="en-US"/>
        </w:rPr>
        <w:t>(</w:t>
      </w:r>
      <w:r w:rsidR="004405D6" w:rsidRPr="00AF6CF8">
        <w:rPr>
          <w:i/>
          <w:iCs/>
          <w:lang w:val="en-US"/>
        </w:rPr>
        <w:t>τ</w:t>
      </w:r>
      <w:r w:rsidR="004405D6" w:rsidRPr="00AF6CF8">
        <w:rPr>
          <w:i/>
          <w:iCs/>
          <w:vertAlign w:val="subscript"/>
          <w:lang w:val="en-US"/>
        </w:rPr>
        <w:t>1</w:t>
      </w:r>
      <w:r w:rsidR="004405D6" w:rsidRPr="00AF6CF8">
        <w:rPr>
          <w:lang w:val="en-US"/>
        </w:rPr>
        <w:t xml:space="preserve">, </w:t>
      </w:r>
      <w:r w:rsidR="004405D6" w:rsidRPr="00AF6CF8">
        <w:rPr>
          <w:i/>
          <w:iCs/>
          <w:lang w:val="en-US"/>
        </w:rPr>
        <w:t>τ</w:t>
      </w:r>
      <w:r w:rsidR="004405D6" w:rsidRPr="00AF6CF8">
        <w:rPr>
          <w:i/>
          <w:iCs/>
          <w:vertAlign w:val="subscript"/>
          <w:lang w:val="en-US"/>
        </w:rPr>
        <w:t>2</w:t>
      </w:r>
      <w:r w:rsidR="004405D6" w:rsidRPr="00AF6CF8">
        <w:rPr>
          <w:lang w:val="en-US"/>
        </w:rPr>
        <w:t>)</w:t>
      </w:r>
    </w:p>
    <w:p w:rsidR="002D7146" w:rsidRDefault="002D7146" w:rsidP="00AF6CF8">
      <w:pPr>
        <w:autoSpaceDE w:val="0"/>
        <w:autoSpaceDN w:val="0"/>
        <w:adjustRightInd w:val="0"/>
        <w:spacing w:after="0"/>
      </w:pPr>
    </w:p>
    <w:p w:rsidR="00B505E5" w:rsidRDefault="00685D1B" w:rsidP="00AF6CF8">
      <w:pPr>
        <w:keepNext/>
        <w:rPr>
          <w:color w:val="000000"/>
        </w:rPr>
      </w:pPr>
      <w:r>
        <w:rPr>
          <w:color w:val="000000"/>
        </w:rPr>
        <w:lastRenderedPageBreak/>
        <w:t>Figure 4</w:t>
      </w:r>
      <w:r w:rsidR="00A35110">
        <w:rPr>
          <w:color w:val="000000"/>
        </w:rPr>
        <w:t xml:space="preserve"> </w:t>
      </w:r>
      <w:r w:rsidR="00560BBF">
        <w:rPr>
          <w:color w:val="000000"/>
        </w:rPr>
        <w:t xml:space="preserve">shows the percentage gain in </w:t>
      </w:r>
      <w:r w:rsidR="00B505E5">
        <w:rPr>
          <w:color w:val="000000"/>
        </w:rPr>
        <w:t>the g</w:t>
      </w:r>
      <w:r w:rsidR="00560BBF">
        <w:rPr>
          <w:color w:val="000000"/>
        </w:rPr>
        <w:t xml:space="preserve">eometric mean of UE throughput </w:t>
      </w:r>
      <w:r w:rsidR="00B505E5">
        <w:rPr>
          <w:color w:val="000000"/>
        </w:rPr>
        <w:t xml:space="preserve">for different combinations of RTTs </w:t>
      </w:r>
      <w:r w:rsidR="009E467F">
        <w:rPr>
          <w:color w:val="000000"/>
        </w:rPr>
        <w:t>(</w:t>
      </w:r>
      <w:r w:rsidR="009E467F" w:rsidRPr="00AF6CF8">
        <w:rPr>
          <w:rFonts w:ascii="Cambria Math" w:hAnsi="Cambria Math" w:hint="eastAsia"/>
          <w:i/>
          <w:iCs/>
          <w:color w:val="000000"/>
        </w:rPr>
        <w:t>τ</w:t>
      </w:r>
      <w:r w:rsidR="009E467F" w:rsidRPr="00AF6CF8">
        <w:rPr>
          <w:rFonts w:ascii="Cambria Math" w:hAnsi="Cambria Math"/>
          <w:i/>
          <w:iCs/>
          <w:color w:val="000000"/>
          <w:vertAlign w:val="subscript"/>
        </w:rPr>
        <w:t>1</w:t>
      </w:r>
      <w:r w:rsidR="009E467F" w:rsidRPr="00AF6CF8">
        <w:rPr>
          <w:i/>
          <w:iCs/>
          <w:color w:val="000000"/>
        </w:rPr>
        <w:t xml:space="preserve">, </w:t>
      </w:r>
      <w:r w:rsidR="009E467F" w:rsidRPr="00AF6CF8">
        <w:rPr>
          <w:rFonts w:ascii="Cambria Math" w:hAnsi="Cambria Math" w:hint="eastAsia"/>
          <w:i/>
          <w:iCs/>
          <w:color w:val="000000"/>
        </w:rPr>
        <w:t>τ</w:t>
      </w:r>
      <w:r w:rsidR="009E467F" w:rsidRPr="00AF6CF8">
        <w:rPr>
          <w:rFonts w:ascii="Cambria Math" w:hAnsi="Cambria Math"/>
          <w:i/>
          <w:iCs/>
          <w:color w:val="000000"/>
          <w:vertAlign w:val="subscript"/>
        </w:rPr>
        <w:t>2</w:t>
      </w:r>
      <w:r w:rsidR="009E467F">
        <w:rPr>
          <w:color w:val="000000"/>
        </w:rPr>
        <w:t xml:space="preserve">) </w:t>
      </w:r>
      <w:r w:rsidR="00B505E5">
        <w:rPr>
          <w:color w:val="000000"/>
        </w:rPr>
        <w:t>on the two carriers for the proposed schemes</w:t>
      </w:r>
      <w:r w:rsidR="00560BBF">
        <w:rPr>
          <w:color w:val="000000"/>
        </w:rPr>
        <w:t>. HARQ pooling schemes provide significant performance gains w</w:t>
      </w:r>
      <w:r w:rsidR="00B505E5">
        <w:rPr>
          <w:color w:val="000000"/>
        </w:rPr>
        <w:t xml:space="preserve">hen the sum of the RTT values </w:t>
      </w:r>
      <w:r w:rsidR="00560BBF">
        <w:rPr>
          <w:color w:val="000000"/>
        </w:rPr>
        <w:t xml:space="preserve">across aggregated carriers </w:t>
      </w:r>
      <w:r w:rsidR="00B505E5">
        <w:rPr>
          <w:color w:val="000000"/>
        </w:rPr>
        <w:t xml:space="preserve">becomes </w:t>
      </w:r>
      <w:r w:rsidR="000D3F16">
        <w:rPr>
          <w:color w:val="000000"/>
        </w:rPr>
        <w:t xml:space="preserve">larger </w:t>
      </w:r>
      <w:r w:rsidR="00560BBF">
        <w:rPr>
          <w:color w:val="000000"/>
        </w:rPr>
        <w:t xml:space="preserve">than the total number of available HARQ processes </w:t>
      </w:r>
      <w:r w:rsidR="000D3F16">
        <w:rPr>
          <w:color w:val="000000"/>
        </w:rPr>
        <w:t>and</w:t>
      </w:r>
      <w:r w:rsidR="00560BBF">
        <w:rPr>
          <w:color w:val="000000"/>
        </w:rPr>
        <w:t xml:space="preserve"> different from each other. </w:t>
      </w:r>
    </w:p>
    <w:p w:rsidR="00CA696A" w:rsidRPr="00AF6CF8" w:rsidRDefault="00CA696A" w:rsidP="00AF6CF8">
      <w:pPr>
        <w:keepNext/>
      </w:pPr>
    </w:p>
    <w:p w:rsidR="00CD4C7B" w:rsidRPr="006E13D1" w:rsidRDefault="00486F91" w:rsidP="00CD4C7B">
      <w:pPr>
        <w:pStyle w:val="Heading1"/>
      </w:pPr>
      <w:r>
        <w:t>4</w:t>
      </w:r>
      <w:r w:rsidR="00CD4C7B" w:rsidRPr="006E13D1">
        <w:tab/>
      </w:r>
      <w:r w:rsidR="001C7264">
        <w:t>Summary</w:t>
      </w:r>
    </w:p>
    <w:p w:rsidR="00CC589C" w:rsidRDefault="00CC589C" w:rsidP="00AF6CF8">
      <w:pPr>
        <w:jc w:val="both"/>
        <w:rPr>
          <w:b/>
        </w:rPr>
      </w:pPr>
      <w:r>
        <w:rPr>
          <w:b/>
        </w:rPr>
        <w:t>Observation</w:t>
      </w:r>
      <w:r w:rsidRPr="001C7264">
        <w:rPr>
          <w:b/>
        </w:rPr>
        <w:t xml:space="preserve"> </w:t>
      </w:r>
      <w:r>
        <w:rPr>
          <w:b/>
        </w:rPr>
        <w:t>1</w:t>
      </w:r>
      <w:r w:rsidRPr="001C7264">
        <w:rPr>
          <w:b/>
        </w:rPr>
        <w:t xml:space="preserve">: </w:t>
      </w:r>
      <w:r>
        <w:rPr>
          <w:b/>
        </w:rPr>
        <w:t xml:space="preserve">In NR, it would be beneficial to have flexible HARQ process allocation to enable variable processing times, variable HARQ RTTs, non-negligible </w:t>
      </w:r>
      <w:proofErr w:type="spellStart"/>
      <w:r>
        <w:rPr>
          <w:b/>
        </w:rPr>
        <w:t>fronthaul</w:t>
      </w:r>
      <w:proofErr w:type="spellEnd"/>
      <w:r>
        <w:rPr>
          <w:b/>
        </w:rPr>
        <w:t xml:space="preserve"> latencies, and Carrier Aggregation across carriers with possibly different numerologies and sub-frame lengths. </w:t>
      </w:r>
    </w:p>
    <w:p w:rsidR="00AD56A2" w:rsidRDefault="00AD56A2" w:rsidP="00AF6CF8">
      <w:pPr>
        <w:jc w:val="both"/>
        <w:rPr>
          <w:b/>
        </w:rPr>
      </w:pPr>
      <w:r>
        <w:rPr>
          <w:b/>
        </w:rPr>
        <w:t>Observation 2: Use of LTE method of Carrier Aggregation will force the HARQ retransmissions to be performed in the same carrier as the fresh transmission, resulting in poor performance for cm-wave/mm-wave cells whose LOS requirement might often result in temporary loss of connectivity.</w:t>
      </w:r>
    </w:p>
    <w:p w:rsidR="00311F31" w:rsidRPr="00E80A06" w:rsidRDefault="00311F31" w:rsidP="00AF6CF8">
      <w:pPr>
        <w:jc w:val="both"/>
        <w:rPr>
          <w:b/>
        </w:rPr>
      </w:pPr>
      <w:r>
        <w:rPr>
          <w:b/>
        </w:rPr>
        <w:t>Proposal 1</w:t>
      </w:r>
      <w:r w:rsidRPr="001C7264">
        <w:rPr>
          <w:b/>
        </w:rPr>
        <w:t>: RAN</w:t>
      </w:r>
      <w:r w:rsidR="009F195F">
        <w:rPr>
          <w:b/>
        </w:rPr>
        <w:t>1</w:t>
      </w:r>
      <w:r w:rsidRPr="001C7264">
        <w:rPr>
          <w:b/>
        </w:rPr>
        <w:t xml:space="preserve"> shall study </w:t>
      </w:r>
      <w:r>
        <w:rPr>
          <w:b/>
        </w:rPr>
        <w:t xml:space="preserve">HARQ process pooling for NR </w:t>
      </w:r>
      <w:r w:rsidR="001D2FEB">
        <w:rPr>
          <w:b/>
        </w:rPr>
        <w:t>Carrier Aggregation</w:t>
      </w:r>
      <w:r>
        <w:rPr>
          <w:b/>
        </w:rPr>
        <w:t xml:space="preserve"> in the context of cloud RAN deployments with non-</w:t>
      </w:r>
      <w:r w:rsidR="00CC589C">
        <w:rPr>
          <w:b/>
        </w:rPr>
        <w:t>negligible</w:t>
      </w:r>
      <w:r>
        <w:rPr>
          <w:b/>
        </w:rPr>
        <w:t xml:space="preserve">, non-uniform </w:t>
      </w:r>
      <w:proofErr w:type="spellStart"/>
      <w:r>
        <w:rPr>
          <w:b/>
        </w:rPr>
        <w:t>fronthaul</w:t>
      </w:r>
      <w:proofErr w:type="spellEnd"/>
      <w:r>
        <w:rPr>
          <w:b/>
        </w:rPr>
        <w:t xml:space="preserve"> latencies and/or variable processing times at the UE. </w:t>
      </w:r>
    </w:p>
    <w:p w:rsidR="00E80A06" w:rsidRPr="006E13D1" w:rsidRDefault="00E80A06" w:rsidP="00E80A06"/>
    <w:p w:rsidR="00CD4C7B" w:rsidRPr="006E13D1" w:rsidRDefault="00CD4C7B" w:rsidP="00CD4C7B">
      <w:pPr>
        <w:pStyle w:val="Heading1"/>
      </w:pPr>
      <w:r w:rsidRPr="006E13D1">
        <w:t>References</w:t>
      </w:r>
    </w:p>
    <w:p w:rsidR="00882597" w:rsidRDefault="00882597" w:rsidP="00882597">
      <w:pPr>
        <w:numPr>
          <w:ilvl w:val="0"/>
          <w:numId w:val="4"/>
        </w:numPr>
        <w:overflowPunct w:val="0"/>
        <w:autoSpaceDE w:val="0"/>
        <w:autoSpaceDN w:val="0"/>
        <w:adjustRightInd w:val="0"/>
        <w:textAlignment w:val="baseline"/>
        <w:rPr>
          <w:sz w:val="18"/>
          <w:szCs w:val="18"/>
        </w:rPr>
      </w:pPr>
      <w:r w:rsidRPr="005C55E2">
        <w:rPr>
          <w:sz w:val="18"/>
          <w:szCs w:val="18"/>
        </w:rPr>
        <w:t>RAN2#94 Chairman notes</w:t>
      </w:r>
    </w:p>
    <w:p w:rsidR="000B3D2C" w:rsidRPr="005C55E2" w:rsidRDefault="000B3D2C" w:rsidP="000F4156">
      <w:pPr>
        <w:numPr>
          <w:ilvl w:val="0"/>
          <w:numId w:val="4"/>
        </w:numPr>
        <w:overflowPunct w:val="0"/>
        <w:autoSpaceDE w:val="0"/>
        <w:autoSpaceDN w:val="0"/>
        <w:adjustRightInd w:val="0"/>
        <w:textAlignment w:val="baseline"/>
        <w:rPr>
          <w:sz w:val="18"/>
          <w:szCs w:val="18"/>
        </w:rPr>
      </w:pPr>
      <w:r>
        <w:rPr>
          <w:sz w:val="18"/>
          <w:szCs w:val="18"/>
        </w:rPr>
        <w:t>R1-16</w:t>
      </w:r>
      <w:r w:rsidR="000F4156">
        <w:rPr>
          <w:sz w:val="18"/>
          <w:szCs w:val="18"/>
        </w:rPr>
        <w:t>7299</w:t>
      </w:r>
      <w:r>
        <w:rPr>
          <w:sz w:val="18"/>
          <w:szCs w:val="18"/>
        </w:rPr>
        <w:t>, “</w:t>
      </w:r>
      <w:r w:rsidR="000F4156" w:rsidRPr="000F4156">
        <w:rPr>
          <w:i/>
          <w:sz w:val="18"/>
          <w:szCs w:val="18"/>
        </w:rPr>
        <w:t>Timing requirements and scenarios for 5G NR Hybrid ARQ</w:t>
      </w:r>
      <w:r>
        <w:rPr>
          <w:i/>
          <w:sz w:val="18"/>
          <w:szCs w:val="18"/>
        </w:rPr>
        <w:t>,”</w:t>
      </w:r>
      <w:r>
        <w:rPr>
          <w:sz w:val="18"/>
          <w:szCs w:val="18"/>
        </w:rPr>
        <w:t xml:space="preserve"> </w:t>
      </w:r>
      <w:r w:rsidRPr="005C55E2">
        <w:rPr>
          <w:sz w:val="18"/>
          <w:szCs w:val="18"/>
        </w:rPr>
        <w:t>Nokia, Alcatel-Lucent Shanghai Bell</w:t>
      </w:r>
    </w:p>
    <w:p w:rsidR="00D37103" w:rsidRPr="005C55E2" w:rsidRDefault="00D37103" w:rsidP="00D37103">
      <w:pPr>
        <w:numPr>
          <w:ilvl w:val="0"/>
          <w:numId w:val="4"/>
        </w:numPr>
        <w:overflowPunct w:val="0"/>
        <w:autoSpaceDE w:val="0"/>
        <w:autoSpaceDN w:val="0"/>
        <w:adjustRightInd w:val="0"/>
        <w:textAlignment w:val="baseline"/>
        <w:rPr>
          <w:sz w:val="18"/>
          <w:szCs w:val="18"/>
        </w:rPr>
      </w:pPr>
      <w:r w:rsidRPr="005C55E2">
        <w:rPr>
          <w:sz w:val="18"/>
          <w:szCs w:val="18"/>
        </w:rPr>
        <w:t>R1-165024, “</w:t>
      </w:r>
      <w:r w:rsidRPr="005C55E2">
        <w:rPr>
          <w:i/>
          <w:sz w:val="18"/>
          <w:szCs w:val="18"/>
        </w:rPr>
        <w:t>Flexible numerology for 5G New Radi</w:t>
      </w:r>
      <w:r w:rsidR="00793190" w:rsidRPr="005C55E2">
        <w:rPr>
          <w:sz w:val="18"/>
          <w:szCs w:val="18"/>
        </w:rPr>
        <w:t>o,”</w:t>
      </w:r>
      <w:r w:rsidRPr="005C55E2">
        <w:rPr>
          <w:sz w:val="18"/>
          <w:szCs w:val="18"/>
        </w:rPr>
        <w:t xml:space="preserve"> Nokia, Alcatel-Lucent Shanghai Bell</w:t>
      </w:r>
    </w:p>
    <w:p w:rsidR="00D37103" w:rsidRPr="005C55E2" w:rsidRDefault="00D37103" w:rsidP="00D37103">
      <w:pPr>
        <w:numPr>
          <w:ilvl w:val="0"/>
          <w:numId w:val="4"/>
        </w:numPr>
        <w:overflowPunct w:val="0"/>
        <w:autoSpaceDE w:val="0"/>
        <w:autoSpaceDN w:val="0"/>
        <w:adjustRightInd w:val="0"/>
        <w:textAlignment w:val="baseline"/>
        <w:rPr>
          <w:sz w:val="18"/>
          <w:szCs w:val="18"/>
        </w:rPr>
      </w:pPr>
      <w:r w:rsidRPr="005C55E2">
        <w:rPr>
          <w:sz w:val="18"/>
          <w:szCs w:val="18"/>
        </w:rPr>
        <w:t>R2-16</w:t>
      </w:r>
      <w:r w:rsidR="000F4156">
        <w:rPr>
          <w:sz w:val="18"/>
          <w:szCs w:val="18"/>
        </w:rPr>
        <w:t>4788</w:t>
      </w:r>
      <w:r w:rsidRPr="005C55E2">
        <w:rPr>
          <w:sz w:val="18"/>
          <w:szCs w:val="18"/>
        </w:rPr>
        <w:t>, “</w:t>
      </w:r>
      <w:r w:rsidRPr="005C55E2">
        <w:rPr>
          <w:i/>
          <w:sz w:val="18"/>
          <w:szCs w:val="18"/>
        </w:rPr>
        <w:t>Carrier Aggregation between carriers of different numerologies</w:t>
      </w:r>
      <w:r w:rsidR="00793190" w:rsidRPr="005C55E2">
        <w:rPr>
          <w:sz w:val="18"/>
          <w:szCs w:val="18"/>
        </w:rPr>
        <w:t>,</w:t>
      </w:r>
      <w:r w:rsidRPr="005C55E2">
        <w:rPr>
          <w:sz w:val="18"/>
          <w:szCs w:val="18"/>
        </w:rPr>
        <w:t>”</w:t>
      </w:r>
      <w:r w:rsidRPr="005C55E2">
        <w:rPr>
          <w:i/>
          <w:sz w:val="18"/>
          <w:szCs w:val="18"/>
        </w:rPr>
        <w:t xml:space="preserve"> </w:t>
      </w:r>
      <w:r w:rsidRPr="005C55E2">
        <w:rPr>
          <w:sz w:val="18"/>
          <w:szCs w:val="18"/>
        </w:rPr>
        <w:t>Nokia, Alcatel-Lucent Shanghai Bell</w:t>
      </w:r>
    </w:p>
    <w:p w:rsidR="00486F91" w:rsidRDefault="00486F91" w:rsidP="00AF6CF8">
      <w:pPr>
        <w:keepNext/>
        <w:keepLines/>
        <w:pBdr>
          <w:top w:val="single" w:sz="12" w:space="3" w:color="auto"/>
        </w:pBdr>
        <w:spacing w:before="240"/>
        <w:ind w:left="360"/>
        <w:outlineLvl w:val="0"/>
      </w:pPr>
      <w:r>
        <w:rPr>
          <w:rFonts w:ascii="Arial" w:hAnsi="Arial" w:cs="Arial"/>
          <w:b/>
          <w:sz w:val="36"/>
          <w:szCs w:val="36"/>
          <w:lang w:eastAsia="zh-CN"/>
        </w:rPr>
        <w:t xml:space="preserve"> </w:t>
      </w:r>
      <w:r w:rsidRPr="00AF6CF8">
        <w:rPr>
          <w:rFonts w:ascii="Arial" w:hAnsi="Arial" w:cs="Arial"/>
          <w:b/>
          <w:sz w:val="36"/>
          <w:szCs w:val="36"/>
          <w:lang w:eastAsia="zh-CN"/>
        </w:rPr>
        <w:t>Appendix</w:t>
      </w:r>
      <w:r w:rsidR="002D7146">
        <w:t xml:space="preserve">                                                </w:t>
      </w:r>
      <w:r w:rsidR="000422D5">
        <w:t xml:space="preserve">                     </w:t>
      </w:r>
    </w:p>
    <w:p w:rsidR="002D7146" w:rsidRPr="00AF6CF8" w:rsidRDefault="00FC04D4" w:rsidP="00AF6CF8">
      <w:pPr>
        <w:keepNext/>
        <w:spacing w:after="0"/>
        <w:jc w:val="center"/>
        <w:rPr>
          <w:b/>
          <w:bCs/>
          <w:lang w:eastAsia="ko-KR"/>
        </w:rPr>
      </w:pPr>
      <w:r w:rsidRPr="00711F95">
        <w:rPr>
          <w:b/>
          <w:bCs/>
        </w:rPr>
        <w:t>Table A.1</w:t>
      </w:r>
      <w:r w:rsidRPr="00711F95">
        <w:rPr>
          <w:rFonts w:hint="eastAsia"/>
          <w:b/>
          <w:bCs/>
          <w:lang w:eastAsia="zh-CN"/>
        </w:rPr>
        <w:t xml:space="preserve">: </w:t>
      </w:r>
      <w:r w:rsidRPr="00711F95">
        <w:rPr>
          <w:rFonts w:hint="eastAsia"/>
          <w:b/>
          <w:bCs/>
          <w:lang w:eastAsia="ko-KR"/>
        </w:rPr>
        <w:t xml:space="preserve"> System level simulation assumption</w:t>
      </w:r>
      <w:r w:rsidRPr="00711F95">
        <w:rPr>
          <w:b/>
          <w:bCs/>
          <w:lang w:eastAsia="ko-KR"/>
        </w:rPr>
        <w:t>s</w:t>
      </w:r>
    </w:p>
    <w:tbl>
      <w:tblPr>
        <w:tblStyle w:val="TableGrid"/>
        <w:tblpPr w:leftFromText="180" w:rightFromText="180" w:vertAnchor="text" w:horzAnchor="margin" w:tblpXSpec="center" w:tblpY="171"/>
        <w:tblW w:w="0" w:type="auto"/>
        <w:tblLook w:val="04A0"/>
      </w:tblPr>
      <w:tblGrid>
        <w:gridCol w:w="3261"/>
        <w:gridCol w:w="4252"/>
      </w:tblGrid>
      <w:tr w:rsidR="002D7146" w:rsidTr="002D7146">
        <w:trPr>
          <w:trHeight w:val="359"/>
        </w:trPr>
        <w:tc>
          <w:tcPr>
            <w:tcW w:w="3261" w:type="dxa"/>
          </w:tcPr>
          <w:p w:rsidR="002D7146" w:rsidRDefault="002D7146" w:rsidP="002D7146">
            <w:pPr>
              <w:rPr>
                <w:lang w:val="en-US"/>
              </w:rPr>
            </w:pPr>
            <w:r>
              <w:rPr>
                <w:lang w:val="en-US"/>
              </w:rPr>
              <w:t>Deployment Scenario</w:t>
            </w:r>
          </w:p>
        </w:tc>
        <w:tc>
          <w:tcPr>
            <w:tcW w:w="4252" w:type="dxa"/>
          </w:tcPr>
          <w:p w:rsidR="002D7146" w:rsidRDefault="002D7146" w:rsidP="002D7146">
            <w:pPr>
              <w:rPr>
                <w:lang w:val="en-US"/>
              </w:rPr>
            </w:pPr>
            <w:r>
              <w:rPr>
                <w:lang w:val="en-US"/>
              </w:rPr>
              <w:t>3GPP case 1 (ISD 500m), 21-cell macro layout,</w:t>
            </w:r>
          </w:p>
        </w:tc>
      </w:tr>
      <w:tr w:rsidR="002D7146" w:rsidTr="002D7146">
        <w:trPr>
          <w:trHeight w:val="366"/>
        </w:trPr>
        <w:tc>
          <w:tcPr>
            <w:tcW w:w="3261" w:type="dxa"/>
          </w:tcPr>
          <w:p w:rsidR="002D7146" w:rsidRDefault="002D7146" w:rsidP="002D7146">
            <w:pPr>
              <w:rPr>
                <w:lang w:val="en-US"/>
              </w:rPr>
            </w:pPr>
            <w:r>
              <w:rPr>
                <w:lang w:val="en-US"/>
              </w:rPr>
              <w:t xml:space="preserve"> Bandwidth</w:t>
            </w:r>
          </w:p>
        </w:tc>
        <w:tc>
          <w:tcPr>
            <w:tcW w:w="4252" w:type="dxa"/>
          </w:tcPr>
          <w:p w:rsidR="002D7146" w:rsidRDefault="002D7146" w:rsidP="002D7146">
            <w:pPr>
              <w:rPr>
                <w:lang w:val="en-US"/>
              </w:rPr>
            </w:pPr>
            <w:r>
              <w:rPr>
                <w:lang w:val="en-US"/>
              </w:rPr>
              <w:t>10 MHz</w:t>
            </w:r>
          </w:p>
        </w:tc>
      </w:tr>
      <w:tr w:rsidR="002D7146" w:rsidTr="002D7146">
        <w:trPr>
          <w:trHeight w:val="359"/>
        </w:trPr>
        <w:tc>
          <w:tcPr>
            <w:tcW w:w="3261" w:type="dxa"/>
          </w:tcPr>
          <w:p w:rsidR="002D7146" w:rsidRDefault="002D7146" w:rsidP="002D7146">
            <w:pPr>
              <w:rPr>
                <w:lang w:val="en-US"/>
              </w:rPr>
            </w:pPr>
            <w:r>
              <w:rPr>
                <w:lang w:val="en-US"/>
              </w:rPr>
              <w:t>Carrier Frequency</w:t>
            </w:r>
          </w:p>
        </w:tc>
        <w:tc>
          <w:tcPr>
            <w:tcW w:w="4252" w:type="dxa"/>
          </w:tcPr>
          <w:p w:rsidR="002D7146" w:rsidRDefault="002D7146" w:rsidP="002D7146">
            <w:pPr>
              <w:rPr>
                <w:lang w:val="en-US"/>
              </w:rPr>
            </w:pPr>
            <w:r>
              <w:rPr>
                <w:lang w:val="en-US"/>
              </w:rPr>
              <w:t>2 GHz</w:t>
            </w:r>
          </w:p>
        </w:tc>
      </w:tr>
      <w:tr w:rsidR="002D7146" w:rsidTr="002D7146">
        <w:trPr>
          <w:trHeight w:val="366"/>
        </w:trPr>
        <w:tc>
          <w:tcPr>
            <w:tcW w:w="3261" w:type="dxa"/>
          </w:tcPr>
          <w:p w:rsidR="002D7146" w:rsidRDefault="002D7146" w:rsidP="002D7146">
            <w:pPr>
              <w:rPr>
                <w:lang w:val="en-US"/>
              </w:rPr>
            </w:pPr>
            <w:r>
              <w:rPr>
                <w:lang w:val="en-US"/>
              </w:rPr>
              <w:t>Total number of pooled HARQ processes</w:t>
            </w:r>
          </w:p>
        </w:tc>
        <w:tc>
          <w:tcPr>
            <w:tcW w:w="4252" w:type="dxa"/>
          </w:tcPr>
          <w:p w:rsidR="002D7146" w:rsidRDefault="002D7146" w:rsidP="002D7146">
            <w:pPr>
              <w:rPr>
                <w:lang w:val="en-US"/>
              </w:rPr>
            </w:pPr>
            <w:r>
              <w:rPr>
                <w:lang w:val="en-US"/>
              </w:rPr>
              <w:t>16</w:t>
            </w:r>
          </w:p>
        </w:tc>
      </w:tr>
      <w:tr w:rsidR="002D7146" w:rsidTr="002D7146">
        <w:trPr>
          <w:trHeight w:val="359"/>
        </w:trPr>
        <w:tc>
          <w:tcPr>
            <w:tcW w:w="3261" w:type="dxa"/>
          </w:tcPr>
          <w:p w:rsidR="002D7146" w:rsidRDefault="002D7146" w:rsidP="002D7146">
            <w:pPr>
              <w:rPr>
                <w:lang w:val="en-US"/>
              </w:rPr>
            </w:pPr>
            <w:r>
              <w:rPr>
                <w:lang w:val="en-US"/>
              </w:rPr>
              <w:t>Antenna Configuration</w:t>
            </w:r>
          </w:p>
        </w:tc>
        <w:tc>
          <w:tcPr>
            <w:tcW w:w="4252" w:type="dxa"/>
          </w:tcPr>
          <w:p w:rsidR="002D7146" w:rsidRDefault="002D7146" w:rsidP="002D7146">
            <w:pPr>
              <w:rPr>
                <w:lang w:val="en-US"/>
              </w:rPr>
            </w:pPr>
            <w:r>
              <w:rPr>
                <w:lang w:val="en-US"/>
              </w:rPr>
              <w:t>2x2, single pair of cross-</w:t>
            </w:r>
            <w:proofErr w:type="spellStart"/>
            <w:r>
              <w:rPr>
                <w:lang w:val="en-US"/>
              </w:rPr>
              <w:t>pol</w:t>
            </w:r>
            <w:proofErr w:type="spellEnd"/>
            <w:r>
              <w:rPr>
                <w:lang w:val="en-US"/>
              </w:rPr>
              <w:t xml:space="preserve"> antennas both at </w:t>
            </w:r>
            <w:proofErr w:type="spellStart"/>
            <w:r>
              <w:rPr>
                <w:lang w:val="en-US"/>
              </w:rPr>
              <w:t>Tx</w:t>
            </w:r>
            <w:proofErr w:type="spellEnd"/>
            <w:r>
              <w:rPr>
                <w:lang w:val="en-US"/>
              </w:rPr>
              <w:t xml:space="preserve"> and Rx</w:t>
            </w:r>
          </w:p>
        </w:tc>
      </w:tr>
      <w:tr w:rsidR="002D7146" w:rsidTr="002D7146">
        <w:trPr>
          <w:trHeight w:val="366"/>
        </w:trPr>
        <w:tc>
          <w:tcPr>
            <w:tcW w:w="3261" w:type="dxa"/>
          </w:tcPr>
          <w:p w:rsidR="002D7146" w:rsidRDefault="002D7146" w:rsidP="002D7146">
            <w:pPr>
              <w:rPr>
                <w:lang w:val="en-US"/>
              </w:rPr>
            </w:pPr>
            <w:r>
              <w:rPr>
                <w:lang w:val="en-US"/>
              </w:rPr>
              <w:t>Transmission Mode</w:t>
            </w:r>
          </w:p>
        </w:tc>
        <w:tc>
          <w:tcPr>
            <w:tcW w:w="4252" w:type="dxa"/>
          </w:tcPr>
          <w:p w:rsidR="002D7146" w:rsidRDefault="002D7146" w:rsidP="002D7146">
            <w:pPr>
              <w:rPr>
                <w:lang w:val="en-US"/>
              </w:rPr>
            </w:pPr>
            <w:r>
              <w:rPr>
                <w:lang w:val="en-US"/>
              </w:rPr>
              <w:t>TM4</w:t>
            </w:r>
          </w:p>
        </w:tc>
      </w:tr>
      <w:tr w:rsidR="002D7146" w:rsidTr="002D7146">
        <w:trPr>
          <w:trHeight w:val="359"/>
        </w:trPr>
        <w:tc>
          <w:tcPr>
            <w:tcW w:w="3261" w:type="dxa"/>
          </w:tcPr>
          <w:p w:rsidR="002D7146" w:rsidRDefault="002D7146" w:rsidP="002D7146">
            <w:pPr>
              <w:rPr>
                <w:lang w:val="en-US"/>
              </w:rPr>
            </w:pPr>
            <w:r>
              <w:rPr>
                <w:lang w:val="en-US"/>
              </w:rPr>
              <w:t>Traffic</w:t>
            </w:r>
          </w:p>
        </w:tc>
        <w:tc>
          <w:tcPr>
            <w:tcW w:w="4252" w:type="dxa"/>
          </w:tcPr>
          <w:p w:rsidR="002D7146" w:rsidRDefault="002D7146" w:rsidP="002D7146">
            <w:pPr>
              <w:rPr>
                <w:lang w:val="en-US"/>
              </w:rPr>
            </w:pPr>
            <w:r>
              <w:rPr>
                <w:lang w:val="en-US"/>
              </w:rPr>
              <w:t xml:space="preserve">Full-buffer </w:t>
            </w:r>
          </w:p>
        </w:tc>
      </w:tr>
      <w:tr w:rsidR="004405D6" w:rsidTr="002D7146">
        <w:trPr>
          <w:trHeight w:val="359"/>
        </w:trPr>
        <w:tc>
          <w:tcPr>
            <w:tcW w:w="3261" w:type="dxa"/>
          </w:tcPr>
          <w:p w:rsidR="004405D6" w:rsidRDefault="004405D6" w:rsidP="002D7146">
            <w:pPr>
              <w:rPr>
                <w:lang w:val="en-US"/>
              </w:rPr>
            </w:pPr>
            <w:r>
              <w:rPr>
                <w:lang w:val="en-US"/>
              </w:rPr>
              <w:t>Number of UEs per cell</w:t>
            </w:r>
          </w:p>
        </w:tc>
        <w:tc>
          <w:tcPr>
            <w:tcW w:w="4252" w:type="dxa"/>
          </w:tcPr>
          <w:p w:rsidR="004405D6" w:rsidRDefault="004405D6" w:rsidP="00AF6CF8">
            <w:pPr>
              <w:tabs>
                <w:tab w:val="left" w:pos="480"/>
              </w:tabs>
              <w:rPr>
                <w:lang w:val="en-US"/>
              </w:rPr>
            </w:pPr>
            <w:r>
              <w:rPr>
                <w:lang w:val="en-US"/>
              </w:rPr>
              <w:t>6</w:t>
            </w:r>
          </w:p>
        </w:tc>
      </w:tr>
      <w:tr w:rsidR="002D7146" w:rsidTr="002D7146">
        <w:trPr>
          <w:trHeight w:val="366"/>
        </w:trPr>
        <w:tc>
          <w:tcPr>
            <w:tcW w:w="3261" w:type="dxa"/>
          </w:tcPr>
          <w:p w:rsidR="002D7146" w:rsidRDefault="002D7146" w:rsidP="002D7146">
            <w:pPr>
              <w:rPr>
                <w:lang w:val="en-US"/>
              </w:rPr>
            </w:pPr>
            <w:r>
              <w:rPr>
                <w:lang w:val="en-US"/>
              </w:rPr>
              <w:t>UE speed</w:t>
            </w:r>
          </w:p>
        </w:tc>
        <w:tc>
          <w:tcPr>
            <w:tcW w:w="4252" w:type="dxa"/>
          </w:tcPr>
          <w:p w:rsidR="002D7146" w:rsidRDefault="002D7146" w:rsidP="002D7146">
            <w:pPr>
              <w:rPr>
                <w:lang w:val="en-US"/>
              </w:rPr>
            </w:pPr>
            <w:r>
              <w:rPr>
                <w:lang w:val="en-US"/>
              </w:rPr>
              <w:t>3 km/h</w:t>
            </w:r>
          </w:p>
        </w:tc>
      </w:tr>
      <w:tr w:rsidR="002D7146" w:rsidTr="002D7146">
        <w:trPr>
          <w:trHeight w:val="359"/>
        </w:trPr>
        <w:tc>
          <w:tcPr>
            <w:tcW w:w="3261" w:type="dxa"/>
          </w:tcPr>
          <w:p w:rsidR="002D7146" w:rsidRDefault="002D7146" w:rsidP="002D7146">
            <w:pPr>
              <w:rPr>
                <w:lang w:val="en-US"/>
              </w:rPr>
            </w:pPr>
            <w:r>
              <w:rPr>
                <w:lang w:val="en-US"/>
              </w:rPr>
              <w:t>Scheduler</w:t>
            </w:r>
          </w:p>
        </w:tc>
        <w:tc>
          <w:tcPr>
            <w:tcW w:w="4252" w:type="dxa"/>
          </w:tcPr>
          <w:p w:rsidR="002D7146" w:rsidRDefault="002D7146" w:rsidP="002D7146">
            <w:pPr>
              <w:rPr>
                <w:lang w:val="en-US"/>
              </w:rPr>
            </w:pPr>
            <w:r>
              <w:rPr>
                <w:lang w:val="en-US"/>
              </w:rPr>
              <w:t>SU-MIMO, PF scheduler</w:t>
            </w:r>
          </w:p>
        </w:tc>
      </w:tr>
      <w:tr w:rsidR="002D7146" w:rsidTr="002D7146">
        <w:trPr>
          <w:trHeight w:val="543"/>
        </w:trPr>
        <w:tc>
          <w:tcPr>
            <w:tcW w:w="3261" w:type="dxa"/>
          </w:tcPr>
          <w:p w:rsidR="002D7146" w:rsidRDefault="002D7146" w:rsidP="002D7146">
            <w:pPr>
              <w:rPr>
                <w:lang w:val="en-US"/>
              </w:rPr>
            </w:pPr>
            <w:r>
              <w:rPr>
                <w:lang w:val="en-US"/>
              </w:rPr>
              <w:t>HARQ partition re-evaluation period</w:t>
            </w:r>
          </w:p>
        </w:tc>
        <w:tc>
          <w:tcPr>
            <w:tcW w:w="4252" w:type="dxa"/>
          </w:tcPr>
          <w:p w:rsidR="002D7146" w:rsidRDefault="002D7146" w:rsidP="002D7146">
            <w:pPr>
              <w:rPr>
                <w:lang w:val="en-US"/>
              </w:rPr>
            </w:pPr>
            <w:r>
              <w:rPr>
                <w:lang w:val="en-US"/>
              </w:rPr>
              <w:t>100 TTIs (unless otherwise mentioned)</w:t>
            </w:r>
          </w:p>
        </w:tc>
      </w:tr>
    </w:tbl>
    <w:p w:rsidR="002D7146" w:rsidRPr="00CD4C7B" w:rsidRDefault="002D7146" w:rsidP="00CD4C7B"/>
    <w:sectPr w:rsidR="002D7146" w:rsidRPr="00CD4C7B" w:rsidSect="00F520B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55A3" w:rsidRDefault="005755A3">
      <w:r>
        <w:separator/>
      </w:r>
    </w:p>
  </w:endnote>
  <w:endnote w:type="continuationSeparator" w:id="0">
    <w:p w:rsidR="005755A3" w:rsidRDefault="005755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unga">
    <w:panose1 w:val="020B0502040204020203"/>
    <w:charset w:val="00"/>
    <w:family w:val="swiss"/>
    <w:pitch w:val="variable"/>
    <w:sig w:usb0="004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NimbusRomNo9L-Regu">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55A3" w:rsidRDefault="005755A3">
      <w:r>
        <w:separator/>
      </w:r>
    </w:p>
  </w:footnote>
  <w:footnote w:type="continuationSeparator" w:id="0">
    <w:p w:rsidR="005755A3" w:rsidRDefault="005755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3AA764A6"/>
    <w:multiLevelType w:val="hybridMultilevel"/>
    <w:tmpl w:val="FC0620D4"/>
    <w:lvl w:ilvl="0" w:tplc="40090015">
      <w:start w:val="1"/>
      <w:numFmt w:val="upperLetter"/>
      <w:lvlText w:val="%1."/>
      <w:lvlJc w:val="left"/>
      <w:pPr>
        <w:ind w:left="767" w:hanging="360"/>
      </w:pPr>
    </w:lvl>
    <w:lvl w:ilvl="1" w:tplc="40090019" w:tentative="1">
      <w:start w:val="1"/>
      <w:numFmt w:val="lowerLetter"/>
      <w:lvlText w:val="%2."/>
      <w:lvlJc w:val="left"/>
      <w:pPr>
        <w:ind w:left="1487" w:hanging="360"/>
      </w:pPr>
    </w:lvl>
    <w:lvl w:ilvl="2" w:tplc="4009001B" w:tentative="1">
      <w:start w:val="1"/>
      <w:numFmt w:val="lowerRoman"/>
      <w:lvlText w:val="%3."/>
      <w:lvlJc w:val="right"/>
      <w:pPr>
        <w:ind w:left="2207" w:hanging="180"/>
      </w:pPr>
    </w:lvl>
    <w:lvl w:ilvl="3" w:tplc="4009000F" w:tentative="1">
      <w:start w:val="1"/>
      <w:numFmt w:val="decimal"/>
      <w:lvlText w:val="%4."/>
      <w:lvlJc w:val="left"/>
      <w:pPr>
        <w:ind w:left="2927" w:hanging="360"/>
      </w:pPr>
    </w:lvl>
    <w:lvl w:ilvl="4" w:tplc="40090019" w:tentative="1">
      <w:start w:val="1"/>
      <w:numFmt w:val="lowerLetter"/>
      <w:lvlText w:val="%5."/>
      <w:lvlJc w:val="left"/>
      <w:pPr>
        <w:ind w:left="3647" w:hanging="360"/>
      </w:pPr>
    </w:lvl>
    <w:lvl w:ilvl="5" w:tplc="4009001B" w:tentative="1">
      <w:start w:val="1"/>
      <w:numFmt w:val="lowerRoman"/>
      <w:lvlText w:val="%6."/>
      <w:lvlJc w:val="right"/>
      <w:pPr>
        <w:ind w:left="4367" w:hanging="180"/>
      </w:pPr>
    </w:lvl>
    <w:lvl w:ilvl="6" w:tplc="4009000F" w:tentative="1">
      <w:start w:val="1"/>
      <w:numFmt w:val="decimal"/>
      <w:lvlText w:val="%7."/>
      <w:lvlJc w:val="left"/>
      <w:pPr>
        <w:ind w:left="5087" w:hanging="360"/>
      </w:pPr>
    </w:lvl>
    <w:lvl w:ilvl="7" w:tplc="40090019" w:tentative="1">
      <w:start w:val="1"/>
      <w:numFmt w:val="lowerLetter"/>
      <w:lvlText w:val="%8."/>
      <w:lvlJc w:val="left"/>
      <w:pPr>
        <w:ind w:left="5807" w:hanging="360"/>
      </w:pPr>
    </w:lvl>
    <w:lvl w:ilvl="8" w:tplc="4009001B" w:tentative="1">
      <w:start w:val="1"/>
      <w:numFmt w:val="lowerRoman"/>
      <w:lvlText w:val="%9."/>
      <w:lvlJc w:val="right"/>
      <w:pPr>
        <w:ind w:left="6527" w:hanging="180"/>
      </w:pPr>
    </w:lvl>
  </w:abstractNum>
  <w:abstractNum w:abstractNumId="4">
    <w:nsid w:val="4E777479"/>
    <w:multiLevelType w:val="hybridMultilevel"/>
    <w:tmpl w:val="8AE050E0"/>
    <w:lvl w:ilvl="0" w:tplc="803CEBE0">
      <w:start w:val="5"/>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5"/>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0B7BCF"/>
    <w:rsid w:val="00033397"/>
    <w:rsid w:val="00040095"/>
    <w:rsid w:val="000422D5"/>
    <w:rsid w:val="00071A7B"/>
    <w:rsid w:val="00073A17"/>
    <w:rsid w:val="00074E16"/>
    <w:rsid w:val="00080512"/>
    <w:rsid w:val="00090468"/>
    <w:rsid w:val="000A7761"/>
    <w:rsid w:val="000B3D2C"/>
    <w:rsid w:val="000B7BCF"/>
    <w:rsid w:val="000C202B"/>
    <w:rsid w:val="000C26C3"/>
    <w:rsid w:val="000C522B"/>
    <w:rsid w:val="000C797B"/>
    <w:rsid w:val="000D3F16"/>
    <w:rsid w:val="000D58AB"/>
    <w:rsid w:val="000E41D2"/>
    <w:rsid w:val="000F16DD"/>
    <w:rsid w:val="000F4156"/>
    <w:rsid w:val="00114653"/>
    <w:rsid w:val="00156818"/>
    <w:rsid w:val="00162B95"/>
    <w:rsid w:val="001741A0"/>
    <w:rsid w:val="00183A53"/>
    <w:rsid w:val="001871B0"/>
    <w:rsid w:val="00194CD0"/>
    <w:rsid w:val="001B251F"/>
    <w:rsid w:val="001B49C9"/>
    <w:rsid w:val="001C7264"/>
    <w:rsid w:val="001D25A7"/>
    <w:rsid w:val="001D2FEB"/>
    <w:rsid w:val="001D6029"/>
    <w:rsid w:val="001E4AB2"/>
    <w:rsid w:val="001E678F"/>
    <w:rsid w:val="001F0BFD"/>
    <w:rsid w:val="001F168B"/>
    <w:rsid w:val="001F7831"/>
    <w:rsid w:val="00204045"/>
    <w:rsid w:val="00222BA7"/>
    <w:rsid w:val="00225CF4"/>
    <w:rsid w:val="0022606D"/>
    <w:rsid w:val="00243DE6"/>
    <w:rsid w:val="00244317"/>
    <w:rsid w:val="002747EC"/>
    <w:rsid w:val="00281AFC"/>
    <w:rsid w:val="0028215C"/>
    <w:rsid w:val="002836B2"/>
    <w:rsid w:val="00283A7F"/>
    <w:rsid w:val="002855BF"/>
    <w:rsid w:val="00297D5F"/>
    <w:rsid w:val="002A1511"/>
    <w:rsid w:val="002B41E1"/>
    <w:rsid w:val="002D7146"/>
    <w:rsid w:val="002F0D22"/>
    <w:rsid w:val="002F5753"/>
    <w:rsid w:val="00301DDA"/>
    <w:rsid w:val="00311F31"/>
    <w:rsid w:val="003172DC"/>
    <w:rsid w:val="00320742"/>
    <w:rsid w:val="00326069"/>
    <w:rsid w:val="00332E1A"/>
    <w:rsid w:val="0035462D"/>
    <w:rsid w:val="00365A3E"/>
    <w:rsid w:val="00382E51"/>
    <w:rsid w:val="00383B3B"/>
    <w:rsid w:val="00390F52"/>
    <w:rsid w:val="00393914"/>
    <w:rsid w:val="003B40AD"/>
    <w:rsid w:val="003B7B55"/>
    <w:rsid w:val="003C4E37"/>
    <w:rsid w:val="003D31BD"/>
    <w:rsid w:val="003D6188"/>
    <w:rsid w:val="003D6DDC"/>
    <w:rsid w:val="003E16BE"/>
    <w:rsid w:val="003E3EC0"/>
    <w:rsid w:val="003E4D82"/>
    <w:rsid w:val="003F01AF"/>
    <w:rsid w:val="003F42EB"/>
    <w:rsid w:val="003F561A"/>
    <w:rsid w:val="00400165"/>
    <w:rsid w:val="00401855"/>
    <w:rsid w:val="00403070"/>
    <w:rsid w:val="0043484D"/>
    <w:rsid w:val="0043784C"/>
    <w:rsid w:val="004405D6"/>
    <w:rsid w:val="00452A07"/>
    <w:rsid w:val="004558AF"/>
    <w:rsid w:val="00470F61"/>
    <w:rsid w:val="0047562B"/>
    <w:rsid w:val="00477455"/>
    <w:rsid w:val="00482008"/>
    <w:rsid w:val="00486C6E"/>
    <w:rsid w:val="00486F91"/>
    <w:rsid w:val="004A3B12"/>
    <w:rsid w:val="004A5BFB"/>
    <w:rsid w:val="004D3578"/>
    <w:rsid w:val="004D380D"/>
    <w:rsid w:val="004E1B4C"/>
    <w:rsid w:val="004E213A"/>
    <w:rsid w:val="004E7179"/>
    <w:rsid w:val="00503171"/>
    <w:rsid w:val="00513928"/>
    <w:rsid w:val="00524A4A"/>
    <w:rsid w:val="00525C99"/>
    <w:rsid w:val="00534DA0"/>
    <w:rsid w:val="00543E6C"/>
    <w:rsid w:val="00545DCD"/>
    <w:rsid w:val="00555FE9"/>
    <w:rsid w:val="005568A8"/>
    <w:rsid w:val="00560BBF"/>
    <w:rsid w:val="00562387"/>
    <w:rsid w:val="00565087"/>
    <w:rsid w:val="0056573F"/>
    <w:rsid w:val="005755A3"/>
    <w:rsid w:val="00580654"/>
    <w:rsid w:val="00586B33"/>
    <w:rsid w:val="005872CD"/>
    <w:rsid w:val="005B245A"/>
    <w:rsid w:val="005B5218"/>
    <w:rsid w:val="005C1948"/>
    <w:rsid w:val="005C2833"/>
    <w:rsid w:val="005C55E2"/>
    <w:rsid w:val="005C566E"/>
    <w:rsid w:val="005D42A0"/>
    <w:rsid w:val="005D659E"/>
    <w:rsid w:val="005E5956"/>
    <w:rsid w:val="005F6F85"/>
    <w:rsid w:val="00604C2B"/>
    <w:rsid w:val="00611566"/>
    <w:rsid w:val="006172B1"/>
    <w:rsid w:val="00646D99"/>
    <w:rsid w:val="00656910"/>
    <w:rsid w:val="00665C1D"/>
    <w:rsid w:val="006830CF"/>
    <w:rsid w:val="00685D1B"/>
    <w:rsid w:val="006A384C"/>
    <w:rsid w:val="006C66D8"/>
    <w:rsid w:val="006D1E24"/>
    <w:rsid w:val="006F6A2C"/>
    <w:rsid w:val="00700F7B"/>
    <w:rsid w:val="00725739"/>
    <w:rsid w:val="00732794"/>
    <w:rsid w:val="00734A5B"/>
    <w:rsid w:val="007373AD"/>
    <w:rsid w:val="00742006"/>
    <w:rsid w:val="00744E76"/>
    <w:rsid w:val="00746EA2"/>
    <w:rsid w:val="00757D40"/>
    <w:rsid w:val="00757EFF"/>
    <w:rsid w:val="0077437E"/>
    <w:rsid w:val="007746E3"/>
    <w:rsid w:val="007802F4"/>
    <w:rsid w:val="00781F0F"/>
    <w:rsid w:val="0078727C"/>
    <w:rsid w:val="0079049D"/>
    <w:rsid w:val="00793190"/>
    <w:rsid w:val="007B18D8"/>
    <w:rsid w:val="007C095F"/>
    <w:rsid w:val="007C3101"/>
    <w:rsid w:val="007C55BF"/>
    <w:rsid w:val="007D0DEF"/>
    <w:rsid w:val="007E217C"/>
    <w:rsid w:val="007F5D65"/>
    <w:rsid w:val="008028A4"/>
    <w:rsid w:val="008036BD"/>
    <w:rsid w:val="00814DAD"/>
    <w:rsid w:val="00820F18"/>
    <w:rsid w:val="0082274D"/>
    <w:rsid w:val="00830CE6"/>
    <w:rsid w:val="0083204A"/>
    <w:rsid w:val="008421E5"/>
    <w:rsid w:val="008768CA"/>
    <w:rsid w:val="00880559"/>
    <w:rsid w:val="00880671"/>
    <w:rsid w:val="00882597"/>
    <w:rsid w:val="008845A4"/>
    <w:rsid w:val="00897905"/>
    <w:rsid w:val="008B34D5"/>
    <w:rsid w:val="008C20BE"/>
    <w:rsid w:val="008D4853"/>
    <w:rsid w:val="008D4B99"/>
    <w:rsid w:val="008F0A69"/>
    <w:rsid w:val="008F0BFB"/>
    <w:rsid w:val="00900037"/>
    <w:rsid w:val="00902573"/>
    <w:rsid w:val="0090271F"/>
    <w:rsid w:val="009028DE"/>
    <w:rsid w:val="009378B6"/>
    <w:rsid w:val="00937B94"/>
    <w:rsid w:val="00942EC2"/>
    <w:rsid w:val="00956133"/>
    <w:rsid w:val="00961B32"/>
    <w:rsid w:val="009709BA"/>
    <w:rsid w:val="00974BB0"/>
    <w:rsid w:val="00977C8E"/>
    <w:rsid w:val="009A63D0"/>
    <w:rsid w:val="009A7881"/>
    <w:rsid w:val="009B07CD"/>
    <w:rsid w:val="009B358A"/>
    <w:rsid w:val="009B5CE7"/>
    <w:rsid w:val="009C62C3"/>
    <w:rsid w:val="009D7C00"/>
    <w:rsid w:val="009E467F"/>
    <w:rsid w:val="009F195F"/>
    <w:rsid w:val="00A10D11"/>
    <w:rsid w:val="00A10F02"/>
    <w:rsid w:val="00A13B32"/>
    <w:rsid w:val="00A15B66"/>
    <w:rsid w:val="00A3488D"/>
    <w:rsid w:val="00A34A8D"/>
    <w:rsid w:val="00A35110"/>
    <w:rsid w:val="00A37204"/>
    <w:rsid w:val="00A4078A"/>
    <w:rsid w:val="00A53724"/>
    <w:rsid w:val="00A62A22"/>
    <w:rsid w:val="00A65CE5"/>
    <w:rsid w:val="00A6655E"/>
    <w:rsid w:val="00A82346"/>
    <w:rsid w:val="00A9671C"/>
    <w:rsid w:val="00AA7254"/>
    <w:rsid w:val="00AB0D59"/>
    <w:rsid w:val="00AB56BC"/>
    <w:rsid w:val="00AC6178"/>
    <w:rsid w:val="00AD56A2"/>
    <w:rsid w:val="00AF0EBA"/>
    <w:rsid w:val="00AF6CF8"/>
    <w:rsid w:val="00B15449"/>
    <w:rsid w:val="00B15799"/>
    <w:rsid w:val="00B24975"/>
    <w:rsid w:val="00B45413"/>
    <w:rsid w:val="00B454FA"/>
    <w:rsid w:val="00B47FD1"/>
    <w:rsid w:val="00B505E5"/>
    <w:rsid w:val="00B53CA6"/>
    <w:rsid w:val="00B57059"/>
    <w:rsid w:val="00B766AD"/>
    <w:rsid w:val="00B7798A"/>
    <w:rsid w:val="00B83FD2"/>
    <w:rsid w:val="00B91267"/>
    <w:rsid w:val="00B91834"/>
    <w:rsid w:val="00B933F0"/>
    <w:rsid w:val="00BA3EAE"/>
    <w:rsid w:val="00BB0879"/>
    <w:rsid w:val="00BB1443"/>
    <w:rsid w:val="00BB3CAC"/>
    <w:rsid w:val="00BD1CEB"/>
    <w:rsid w:val="00BD5631"/>
    <w:rsid w:val="00BD6C2D"/>
    <w:rsid w:val="00C05498"/>
    <w:rsid w:val="00C06EFB"/>
    <w:rsid w:val="00C12B51"/>
    <w:rsid w:val="00C33079"/>
    <w:rsid w:val="00C36004"/>
    <w:rsid w:val="00C41EC4"/>
    <w:rsid w:val="00C83A13"/>
    <w:rsid w:val="00C970C0"/>
    <w:rsid w:val="00CA3D0C"/>
    <w:rsid w:val="00CA696A"/>
    <w:rsid w:val="00CC589C"/>
    <w:rsid w:val="00CD0AD5"/>
    <w:rsid w:val="00CD1162"/>
    <w:rsid w:val="00CD4C7B"/>
    <w:rsid w:val="00CE157C"/>
    <w:rsid w:val="00CF239B"/>
    <w:rsid w:val="00D00978"/>
    <w:rsid w:val="00D069B3"/>
    <w:rsid w:val="00D06BFE"/>
    <w:rsid w:val="00D238EB"/>
    <w:rsid w:val="00D33BD2"/>
    <w:rsid w:val="00D37103"/>
    <w:rsid w:val="00D528F3"/>
    <w:rsid w:val="00D738D6"/>
    <w:rsid w:val="00D75E73"/>
    <w:rsid w:val="00D80795"/>
    <w:rsid w:val="00D80C2A"/>
    <w:rsid w:val="00D87E00"/>
    <w:rsid w:val="00D9134D"/>
    <w:rsid w:val="00D95D22"/>
    <w:rsid w:val="00D96A9C"/>
    <w:rsid w:val="00D96D11"/>
    <w:rsid w:val="00DA7A03"/>
    <w:rsid w:val="00DB1818"/>
    <w:rsid w:val="00DC309B"/>
    <w:rsid w:val="00DC3D7D"/>
    <w:rsid w:val="00DC4DA2"/>
    <w:rsid w:val="00DD774D"/>
    <w:rsid w:val="00DF1F46"/>
    <w:rsid w:val="00E30BCF"/>
    <w:rsid w:val="00E34752"/>
    <w:rsid w:val="00E5551F"/>
    <w:rsid w:val="00E55CA0"/>
    <w:rsid w:val="00E62835"/>
    <w:rsid w:val="00E64BFF"/>
    <w:rsid w:val="00E662EB"/>
    <w:rsid w:val="00E71B4B"/>
    <w:rsid w:val="00E77645"/>
    <w:rsid w:val="00E80A06"/>
    <w:rsid w:val="00E91E86"/>
    <w:rsid w:val="00E9221E"/>
    <w:rsid w:val="00E94747"/>
    <w:rsid w:val="00E95AD0"/>
    <w:rsid w:val="00EC1F2C"/>
    <w:rsid w:val="00EC4A25"/>
    <w:rsid w:val="00ED0E27"/>
    <w:rsid w:val="00ED3C07"/>
    <w:rsid w:val="00EF024E"/>
    <w:rsid w:val="00EF23ED"/>
    <w:rsid w:val="00F023C1"/>
    <w:rsid w:val="00F025A2"/>
    <w:rsid w:val="00F07388"/>
    <w:rsid w:val="00F2026E"/>
    <w:rsid w:val="00F2210A"/>
    <w:rsid w:val="00F27067"/>
    <w:rsid w:val="00F27259"/>
    <w:rsid w:val="00F3617C"/>
    <w:rsid w:val="00F37743"/>
    <w:rsid w:val="00F432AA"/>
    <w:rsid w:val="00F4551E"/>
    <w:rsid w:val="00F520BF"/>
    <w:rsid w:val="00F54A3D"/>
    <w:rsid w:val="00F61322"/>
    <w:rsid w:val="00F653B8"/>
    <w:rsid w:val="00F656C9"/>
    <w:rsid w:val="00F76F8F"/>
    <w:rsid w:val="00F95D04"/>
    <w:rsid w:val="00FA1266"/>
    <w:rsid w:val="00FC04D4"/>
    <w:rsid w:val="00FC1192"/>
    <w:rsid w:val="00FC731B"/>
    <w:rsid w:val="00FD5460"/>
    <w:rsid w:val="00FF66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table of authorities" w:uiPriority="99"/>
    <w:lsdException w:name="toa heading"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0BF"/>
    <w:pPr>
      <w:spacing w:after="180"/>
    </w:pPr>
    <w:rPr>
      <w:lang w:eastAsia="en-US"/>
    </w:rPr>
  </w:style>
  <w:style w:type="paragraph" w:styleId="Heading1">
    <w:name w:val="heading 1"/>
    <w:next w:val="Normal"/>
    <w:qFormat/>
    <w:rsid w:val="00F520BF"/>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F520BF"/>
    <w:pPr>
      <w:pBdr>
        <w:top w:val="none" w:sz="0" w:space="0" w:color="auto"/>
      </w:pBdr>
      <w:spacing w:before="180"/>
      <w:outlineLvl w:val="1"/>
    </w:pPr>
    <w:rPr>
      <w:sz w:val="32"/>
    </w:rPr>
  </w:style>
  <w:style w:type="paragraph" w:styleId="Heading3">
    <w:name w:val="heading 3"/>
    <w:basedOn w:val="Heading2"/>
    <w:next w:val="Normal"/>
    <w:qFormat/>
    <w:rsid w:val="00F520BF"/>
    <w:pPr>
      <w:spacing w:before="120"/>
      <w:outlineLvl w:val="2"/>
    </w:pPr>
    <w:rPr>
      <w:sz w:val="28"/>
    </w:rPr>
  </w:style>
  <w:style w:type="paragraph" w:styleId="Heading4">
    <w:name w:val="heading 4"/>
    <w:basedOn w:val="Heading3"/>
    <w:next w:val="Normal"/>
    <w:qFormat/>
    <w:rsid w:val="00F520BF"/>
    <w:pPr>
      <w:ind w:left="1418" w:hanging="1418"/>
      <w:outlineLvl w:val="3"/>
    </w:pPr>
    <w:rPr>
      <w:sz w:val="24"/>
    </w:rPr>
  </w:style>
  <w:style w:type="paragraph" w:styleId="Heading5">
    <w:name w:val="heading 5"/>
    <w:basedOn w:val="Heading4"/>
    <w:next w:val="Normal"/>
    <w:qFormat/>
    <w:rsid w:val="00F520BF"/>
    <w:pPr>
      <w:ind w:left="1701" w:hanging="1701"/>
      <w:outlineLvl w:val="4"/>
    </w:pPr>
    <w:rPr>
      <w:sz w:val="22"/>
    </w:rPr>
  </w:style>
  <w:style w:type="paragraph" w:styleId="Heading6">
    <w:name w:val="heading 6"/>
    <w:basedOn w:val="H6"/>
    <w:next w:val="Normal"/>
    <w:qFormat/>
    <w:rsid w:val="00F520BF"/>
    <w:pPr>
      <w:outlineLvl w:val="5"/>
    </w:pPr>
  </w:style>
  <w:style w:type="paragraph" w:styleId="Heading7">
    <w:name w:val="heading 7"/>
    <w:basedOn w:val="H6"/>
    <w:next w:val="Normal"/>
    <w:qFormat/>
    <w:rsid w:val="00F520BF"/>
    <w:pPr>
      <w:outlineLvl w:val="6"/>
    </w:pPr>
  </w:style>
  <w:style w:type="paragraph" w:styleId="Heading8">
    <w:name w:val="heading 8"/>
    <w:basedOn w:val="Heading1"/>
    <w:next w:val="Normal"/>
    <w:qFormat/>
    <w:rsid w:val="00F520BF"/>
    <w:pPr>
      <w:ind w:left="0" w:firstLine="0"/>
      <w:outlineLvl w:val="7"/>
    </w:pPr>
  </w:style>
  <w:style w:type="paragraph" w:styleId="Heading9">
    <w:name w:val="heading 9"/>
    <w:basedOn w:val="Heading8"/>
    <w:next w:val="Normal"/>
    <w:qFormat/>
    <w:rsid w:val="00F520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520BF"/>
    <w:pPr>
      <w:ind w:left="1985" w:hanging="1985"/>
      <w:outlineLvl w:val="9"/>
    </w:pPr>
    <w:rPr>
      <w:sz w:val="20"/>
    </w:rPr>
  </w:style>
  <w:style w:type="paragraph" w:styleId="TOC9">
    <w:name w:val="toc 9"/>
    <w:basedOn w:val="TOC8"/>
    <w:semiHidden/>
    <w:rsid w:val="00F520BF"/>
    <w:pPr>
      <w:ind w:left="1418" w:hanging="1418"/>
    </w:pPr>
  </w:style>
  <w:style w:type="paragraph" w:styleId="TOC8">
    <w:name w:val="toc 8"/>
    <w:basedOn w:val="TOC1"/>
    <w:semiHidden/>
    <w:rsid w:val="00F520BF"/>
    <w:pPr>
      <w:spacing w:before="180"/>
      <w:ind w:left="2693" w:hanging="2693"/>
    </w:pPr>
    <w:rPr>
      <w:b/>
    </w:rPr>
  </w:style>
  <w:style w:type="paragraph" w:styleId="TOC1">
    <w:name w:val="toc 1"/>
    <w:semiHidden/>
    <w:rsid w:val="00F520BF"/>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F520BF"/>
    <w:pPr>
      <w:keepLines/>
      <w:tabs>
        <w:tab w:val="center" w:pos="4536"/>
        <w:tab w:val="right" w:pos="9072"/>
      </w:tabs>
    </w:pPr>
    <w:rPr>
      <w:noProof/>
    </w:rPr>
  </w:style>
  <w:style w:type="character" w:customStyle="1" w:styleId="ZGSM">
    <w:name w:val="ZGSM"/>
    <w:rsid w:val="00F520BF"/>
  </w:style>
  <w:style w:type="paragraph" w:styleId="Header">
    <w:name w:val="header"/>
    <w:aliases w:val="header odd"/>
    <w:link w:val="HeaderChar"/>
    <w:rsid w:val="00F520BF"/>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520BF"/>
    <w:pPr>
      <w:framePr w:wrap="notBeside" w:vAnchor="page" w:hAnchor="margin" w:y="15764"/>
      <w:widowControl w:val="0"/>
    </w:pPr>
    <w:rPr>
      <w:rFonts w:ascii="Arial" w:hAnsi="Arial"/>
      <w:noProof/>
      <w:sz w:val="32"/>
      <w:lang w:eastAsia="en-US"/>
    </w:rPr>
  </w:style>
  <w:style w:type="paragraph" w:styleId="TOC5">
    <w:name w:val="toc 5"/>
    <w:basedOn w:val="TOC4"/>
    <w:semiHidden/>
    <w:rsid w:val="00F520BF"/>
    <w:pPr>
      <w:ind w:left="1701" w:hanging="1701"/>
    </w:pPr>
  </w:style>
  <w:style w:type="paragraph" w:styleId="TOC4">
    <w:name w:val="toc 4"/>
    <w:basedOn w:val="TOC3"/>
    <w:semiHidden/>
    <w:rsid w:val="00F520BF"/>
    <w:pPr>
      <w:ind w:left="1418" w:hanging="1418"/>
    </w:pPr>
  </w:style>
  <w:style w:type="paragraph" w:styleId="TOC3">
    <w:name w:val="toc 3"/>
    <w:basedOn w:val="TOC2"/>
    <w:semiHidden/>
    <w:rsid w:val="00F520BF"/>
    <w:pPr>
      <w:ind w:left="1134" w:hanging="1134"/>
    </w:pPr>
  </w:style>
  <w:style w:type="paragraph" w:styleId="TOC2">
    <w:name w:val="toc 2"/>
    <w:basedOn w:val="TOC1"/>
    <w:semiHidden/>
    <w:rsid w:val="00F520BF"/>
    <w:pPr>
      <w:keepNext w:val="0"/>
      <w:spacing w:before="0"/>
      <w:ind w:left="851" w:hanging="851"/>
    </w:pPr>
    <w:rPr>
      <w:sz w:val="20"/>
    </w:rPr>
  </w:style>
  <w:style w:type="paragraph" w:styleId="Footer">
    <w:name w:val="footer"/>
    <w:basedOn w:val="Header"/>
    <w:rsid w:val="00F520BF"/>
    <w:pPr>
      <w:jc w:val="center"/>
    </w:pPr>
    <w:rPr>
      <w:i/>
    </w:rPr>
  </w:style>
  <w:style w:type="paragraph" w:customStyle="1" w:styleId="TT">
    <w:name w:val="TT"/>
    <w:basedOn w:val="Heading1"/>
    <w:next w:val="Normal"/>
    <w:rsid w:val="00F520BF"/>
    <w:pPr>
      <w:outlineLvl w:val="9"/>
    </w:pPr>
  </w:style>
  <w:style w:type="paragraph" w:customStyle="1" w:styleId="NF">
    <w:name w:val="NF"/>
    <w:basedOn w:val="NO"/>
    <w:rsid w:val="00F520BF"/>
    <w:pPr>
      <w:keepNext/>
      <w:spacing w:after="0"/>
    </w:pPr>
    <w:rPr>
      <w:rFonts w:ascii="Arial" w:hAnsi="Arial"/>
      <w:sz w:val="18"/>
    </w:rPr>
  </w:style>
  <w:style w:type="paragraph" w:customStyle="1" w:styleId="NO">
    <w:name w:val="NO"/>
    <w:basedOn w:val="Normal"/>
    <w:rsid w:val="00F520BF"/>
    <w:pPr>
      <w:keepLines/>
      <w:ind w:left="1135" w:hanging="851"/>
    </w:pPr>
  </w:style>
  <w:style w:type="paragraph" w:customStyle="1" w:styleId="PL">
    <w:name w:val="PL"/>
    <w:rsid w:val="00F52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520BF"/>
    <w:pPr>
      <w:jc w:val="right"/>
    </w:pPr>
  </w:style>
  <w:style w:type="paragraph" w:customStyle="1" w:styleId="TAL">
    <w:name w:val="TAL"/>
    <w:basedOn w:val="Normal"/>
    <w:rsid w:val="00F520BF"/>
    <w:pPr>
      <w:keepNext/>
      <w:keepLines/>
      <w:spacing w:after="0"/>
    </w:pPr>
    <w:rPr>
      <w:rFonts w:ascii="Arial" w:hAnsi="Arial"/>
      <w:sz w:val="18"/>
    </w:rPr>
  </w:style>
  <w:style w:type="paragraph" w:customStyle="1" w:styleId="TAH">
    <w:name w:val="TAH"/>
    <w:basedOn w:val="TAC"/>
    <w:link w:val="TAHCar"/>
    <w:rsid w:val="00F520BF"/>
    <w:rPr>
      <w:b/>
    </w:rPr>
  </w:style>
  <w:style w:type="paragraph" w:customStyle="1" w:styleId="TAC">
    <w:name w:val="TAC"/>
    <w:basedOn w:val="TAL"/>
    <w:link w:val="TACChar"/>
    <w:rsid w:val="00F520BF"/>
    <w:pPr>
      <w:jc w:val="center"/>
    </w:pPr>
  </w:style>
  <w:style w:type="paragraph" w:customStyle="1" w:styleId="LD">
    <w:name w:val="LD"/>
    <w:rsid w:val="00F520BF"/>
    <w:pPr>
      <w:keepNext/>
      <w:keepLines/>
      <w:spacing w:line="180" w:lineRule="exact"/>
    </w:pPr>
    <w:rPr>
      <w:rFonts w:ascii="Courier New" w:hAnsi="Courier New"/>
      <w:noProof/>
      <w:lang w:eastAsia="en-US"/>
    </w:rPr>
  </w:style>
  <w:style w:type="paragraph" w:customStyle="1" w:styleId="EX">
    <w:name w:val="EX"/>
    <w:basedOn w:val="Normal"/>
    <w:rsid w:val="00F520BF"/>
    <w:pPr>
      <w:keepLines/>
      <w:ind w:left="1702" w:hanging="1418"/>
    </w:pPr>
  </w:style>
  <w:style w:type="paragraph" w:customStyle="1" w:styleId="FP">
    <w:name w:val="FP"/>
    <w:basedOn w:val="Normal"/>
    <w:rsid w:val="00F520BF"/>
    <w:pPr>
      <w:spacing w:after="0"/>
    </w:pPr>
  </w:style>
  <w:style w:type="paragraph" w:customStyle="1" w:styleId="NW">
    <w:name w:val="NW"/>
    <w:basedOn w:val="NO"/>
    <w:rsid w:val="00F520BF"/>
    <w:pPr>
      <w:spacing w:after="0"/>
    </w:pPr>
  </w:style>
  <w:style w:type="paragraph" w:customStyle="1" w:styleId="EW">
    <w:name w:val="EW"/>
    <w:basedOn w:val="EX"/>
    <w:rsid w:val="00F520BF"/>
    <w:pPr>
      <w:spacing w:after="0"/>
    </w:pPr>
  </w:style>
  <w:style w:type="paragraph" w:customStyle="1" w:styleId="B1">
    <w:name w:val="B1"/>
    <w:basedOn w:val="Normal"/>
    <w:rsid w:val="00F520BF"/>
    <w:pPr>
      <w:ind w:left="568" w:hanging="284"/>
    </w:pPr>
  </w:style>
  <w:style w:type="paragraph" w:styleId="TOC6">
    <w:name w:val="toc 6"/>
    <w:basedOn w:val="TOC5"/>
    <w:next w:val="Normal"/>
    <w:semiHidden/>
    <w:rsid w:val="00F520BF"/>
    <w:pPr>
      <w:ind w:left="1985" w:hanging="1985"/>
    </w:pPr>
  </w:style>
  <w:style w:type="paragraph" w:styleId="TOC7">
    <w:name w:val="toc 7"/>
    <w:basedOn w:val="TOC6"/>
    <w:next w:val="Normal"/>
    <w:semiHidden/>
    <w:rsid w:val="00F520BF"/>
    <w:pPr>
      <w:ind w:left="2268" w:hanging="2268"/>
    </w:pPr>
  </w:style>
  <w:style w:type="paragraph" w:customStyle="1" w:styleId="EditorsNote">
    <w:name w:val="Editor's Note"/>
    <w:basedOn w:val="NO"/>
    <w:rsid w:val="00F520BF"/>
    <w:rPr>
      <w:color w:val="FF0000"/>
    </w:rPr>
  </w:style>
  <w:style w:type="paragraph" w:customStyle="1" w:styleId="TH">
    <w:name w:val="TH"/>
    <w:basedOn w:val="Normal"/>
    <w:rsid w:val="00F520BF"/>
    <w:pPr>
      <w:keepNext/>
      <w:keepLines/>
      <w:spacing w:before="60"/>
      <w:jc w:val="center"/>
    </w:pPr>
    <w:rPr>
      <w:rFonts w:ascii="Arial" w:hAnsi="Arial"/>
      <w:b/>
    </w:rPr>
  </w:style>
  <w:style w:type="paragraph" w:customStyle="1" w:styleId="ZA">
    <w:name w:val="ZA"/>
    <w:rsid w:val="00F520B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520BF"/>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520BF"/>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520B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520BF"/>
    <w:pPr>
      <w:ind w:left="851" w:hanging="851"/>
    </w:pPr>
  </w:style>
  <w:style w:type="paragraph" w:customStyle="1" w:styleId="ZH">
    <w:name w:val="ZH"/>
    <w:rsid w:val="00F520BF"/>
    <w:pPr>
      <w:framePr w:wrap="notBeside" w:vAnchor="page" w:hAnchor="margin" w:xAlign="center" w:y="6805"/>
      <w:widowControl w:val="0"/>
    </w:pPr>
    <w:rPr>
      <w:rFonts w:ascii="Arial" w:hAnsi="Arial"/>
      <w:noProof/>
      <w:lang w:eastAsia="en-US"/>
    </w:rPr>
  </w:style>
  <w:style w:type="paragraph" w:customStyle="1" w:styleId="TF">
    <w:name w:val="TF"/>
    <w:basedOn w:val="TH"/>
    <w:rsid w:val="00F520BF"/>
    <w:pPr>
      <w:keepNext w:val="0"/>
      <w:spacing w:before="0" w:after="240"/>
    </w:pPr>
  </w:style>
  <w:style w:type="paragraph" w:customStyle="1" w:styleId="ZG">
    <w:name w:val="ZG"/>
    <w:rsid w:val="00F520BF"/>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F520BF"/>
    <w:pPr>
      <w:ind w:left="851" w:hanging="284"/>
    </w:pPr>
  </w:style>
  <w:style w:type="paragraph" w:customStyle="1" w:styleId="B3">
    <w:name w:val="B3"/>
    <w:basedOn w:val="Normal"/>
    <w:rsid w:val="00F520BF"/>
    <w:pPr>
      <w:ind w:left="1135" w:hanging="284"/>
    </w:pPr>
  </w:style>
  <w:style w:type="paragraph" w:customStyle="1" w:styleId="B4">
    <w:name w:val="B4"/>
    <w:basedOn w:val="Normal"/>
    <w:rsid w:val="00F520BF"/>
    <w:pPr>
      <w:ind w:left="1418" w:hanging="284"/>
    </w:pPr>
  </w:style>
  <w:style w:type="paragraph" w:customStyle="1" w:styleId="B5">
    <w:name w:val="B5"/>
    <w:basedOn w:val="Normal"/>
    <w:rsid w:val="00F520BF"/>
    <w:pPr>
      <w:ind w:left="1702" w:hanging="284"/>
    </w:pPr>
  </w:style>
  <w:style w:type="paragraph" w:customStyle="1" w:styleId="ZTD">
    <w:name w:val="ZTD"/>
    <w:basedOn w:val="ZB"/>
    <w:rsid w:val="00F520BF"/>
    <w:pPr>
      <w:framePr w:hRule="auto" w:wrap="notBeside" w:y="852"/>
    </w:pPr>
    <w:rPr>
      <w:i w:val="0"/>
      <w:sz w:val="40"/>
    </w:rPr>
  </w:style>
  <w:style w:type="paragraph" w:customStyle="1" w:styleId="ZV">
    <w:name w:val="ZV"/>
    <w:basedOn w:val="ZU"/>
    <w:rsid w:val="00F520BF"/>
    <w:pPr>
      <w:framePr w:wrap="notBeside" w:y="16161"/>
    </w:pPr>
  </w:style>
  <w:style w:type="paragraph" w:customStyle="1" w:styleId="TAJ">
    <w:name w:val="TAJ"/>
    <w:basedOn w:val="TH"/>
    <w:rsid w:val="00F520BF"/>
  </w:style>
  <w:style w:type="paragraph" w:customStyle="1" w:styleId="Guidance">
    <w:name w:val="Guidance"/>
    <w:basedOn w:val="Normal"/>
    <w:rsid w:val="00F520BF"/>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TAHCar">
    <w:name w:val="TAH Car"/>
    <w:link w:val="TAH"/>
    <w:locked/>
    <w:rsid w:val="0028215C"/>
    <w:rPr>
      <w:rFonts w:ascii="Arial" w:hAnsi="Arial"/>
      <w:b/>
      <w:sz w:val="18"/>
      <w:lang w:eastAsia="en-US"/>
    </w:rPr>
  </w:style>
  <w:style w:type="character" w:customStyle="1" w:styleId="TACChar">
    <w:name w:val="TAC Char"/>
    <w:link w:val="TAC"/>
    <w:rsid w:val="0028215C"/>
    <w:rPr>
      <w:rFonts w:ascii="Arial" w:hAnsi="Arial"/>
      <w:sz w:val="18"/>
      <w:lang w:eastAsia="en-US"/>
    </w:rPr>
  </w:style>
  <w:style w:type="paragraph" w:styleId="ListParagraph">
    <w:name w:val="List Paragraph"/>
    <w:basedOn w:val="Normal"/>
    <w:uiPriority w:val="34"/>
    <w:qFormat/>
    <w:rsid w:val="001E4AB2"/>
    <w:pPr>
      <w:ind w:left="720"/>
      <w:contextualSpacing/>
    </w:pPr>
  </w:style>
  <w:style w:type="paragraph" w:styleId="TOAHeading">
    <w:name w:val="toa heading"/>
    <w:basedOn w:val="Normal"/>
    <w:next w:val="Normal"/>
    <w:uiPriority w:val="99"/>
    <w:rsid w:val="00525C99"/>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rsid w:val="00525C99"/>
    <w:pPr>
      <w:spacing w:after="0"/>
      <w:ind w:left="200" w:hanging="200"/>
    </w:pPr>
  </w:style>
  <w:style w:type="character" w:styleId="CommentReference">
    <w:name w:val="annotation reference"/>
    <w:basedOn w:val="DefaultParagraphFont"/>
    <w:rsid w:val="008F0A69"/>
    <w:rPr>
      <w:sz w:val="16"/>
      <w:szCs w:val="16"/>
    </w:rPr>
  </w:style>
  <w:style w:type="paragraph" w:styleId="CommentText">
    <w:name w:val="annotation text"/>
    <w:basedOn w:val="Normal"/>
    <w:link w:val="CommentTextChar"/>
    <w:rsid w:val="008F0A69"/>
  </w:style>
  <w:style w:type="character" w:customStyle="1" w:styleId="CommentTextChar">
    <w:name w:val="Comment Text Char"/>
    <w:basedOn w:val="DefaultParagraphFont"/>
    <w:link w:val="CommentText"/>
    <w:rsid w:val="008F0A69"/>
    <w:rPr>
      <w:lang w:eastAsia="en-US"/>
    </w:rPr>
  </w:style>
  <w:style w:type="paragraph" w:styleId="CommentSubject">
    <w:name w:val="annotation subject"/>
    <w:basedOn w:val="CommentText"/>
    <w:next w:val="CommentText"/>
    <w:link w:val="CommentSubjectChar"/>
    <w:rsid w:val="008F0A69"/>
    <w:rPr>
      <w:b/>
      <w:bCs/>
    </w:rPr>
  </w:style>
  <w:style w:type="character" w:customStyle="1" w:styleId="CommentSubjectChar">
    <w:name w:val="Comment Subject Char"/>
    <w:basedOn w:val="CommentTextChar"/>
    <w:link w:val="CommentSubject"/>
    <w:rsid w:val="008F0A69"/>
    <w:rPr>
      <w:b/>
      <w:bCs/>
      <w:lang w:eastAsia="en-US"/>
    </w:rPr>
  </w:style>
  <w:style w:type="paragraph" w:styleId="BalloonText">
    <w:name w:val="Balloon Text"/>
    <w:basedOn w:val="Normal"/>
    <w:link w:val="BalloonTextChar"/>
    <w:rsid w:val="008F0A69"/>
    <w:pPr>
      <w:spacing w:after="0"/>
    </w:pPr>
    <w:rPr>
      <w:rFonts w:ascii="Segoe UI" w:hAnsi="Segoe UI" w:cs="Segoe UI"/>
      <w:sz w:val="18"/>
      <w:szCs w:val="18"/>
    </w:rPr>
  </w:style>
  <w:style w:type="character" w:customStyle="1" w:styleId="BalloonTextChar">
    <w:name w:val="Balloon Text Char"/>
    <w:basedOn w:val="DefaultParagraphFont"/>
    <w:link w:val="BalloonText"/>
    <w:rsid w:val="008F0A69"/>
    <w:rPr>
      <w:rFonts w:ascii="Segoe UI" w:hAnsi="Segoe UI" w:cs="Segoe UI"/>
      <w:sz w:val="18"/>
      <w:szCs w:val="18"/>
      <w:lang w:eastAsia="en-US"/>
    </w:rPr>
  </w:style>
  <w:style w:type="paragraph" w:styleId="Caption">
    <w:name w:val="caption"/>
    <w:basedOn w:val="Normal"/>
    <w:next w:val="Normal"/>
    <w:unhideWhenUsed/>
    <w:qFormat/>
    <w:rsid w:val="004A5BFB"/>
    <w:pPr>
      <w:spacing w:after="200"/>
    </w:pPr>
    <w:rPr>
      <w:i/>
      <w:iCs/>
      <w:color w:val="44546A" w:themeColor="text2"/>
      <w:sz w:val="18"/>
      <w:szCs w:val="18"/>
    </w:rPr>
  </w:style>
  <w:style w:type="table" w:styleId="TableGrid">
    <w:name w:val="Table Grid"/>
    <w:basedOn w:val="TableNormal"/>
    <w:rsid w:val="006172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0596515">
      <w:bodyDiv w:val="1"/>
      <w:marLeft w:val="0"/>
      <w:marRight w:val="0"/>
      <w:marTop w:val="0"/>
      <w:marBottom w:val="0"/>
      <w:divBdr>
        <w:top w:val="none" w:sz="0" w:space="0" w:color="auto"/>
        <w:left w:val="none" w:sz="0" w:space="0" w:color="auto"/>
        <w:bottom w:val="none" w:sz="0" w:space="0" w:color="auto"/>
        <w:right w:val="none" w:sz="0" w:space="0" w:color="auto"/>
      </w:divBdr>
      <w:divsChild>
        <w:div w:id="2146775287">
          <w:marLeft w:val="965"/>
          <w:marRight w:val="0"/>
          <w:marTop w:val="0"/>
          <w:marBottom w:val="160"/>
          <w:divBdr>
            <w:top w:val="none" w:sz="0" w:space="0" w:color="auto"/>
            <w:left w:val="none" w:sz="0" w:space="0" w:color="auto"/>
            <w:bottom w:val="none" w:sz="0" w:space="0" w:color="auto"/>
            <w:right w:val="none" w:sz="0" w:space="0" w:color="auto"/>
          </w:divBdr>
        </w:div>
      </w:divsChild>
    </w:div>
    <w:div w:id="331954622">
      <w:bodyDiv w:val="1"/>
      <w:marLeft w:val="0"/>
      <w:marRight w:val="0"/>
      <w:marTop w:val="0"/>
      <w:marBottom w:val="0"/>
      <w:divBdr>
        <w:top w:val="none" w:sz="0" w:space="0" w:color="auto"/>
        <w:left w:val="none" w:sz="0" w:space="0" w:color="auto"/>
        <w:bottom w:val="none" w:sz="0" w:space="0" w:color="auto"/>
        <w:right w:val="none" w:sz="0" w:space="0" w:color="auto"/>
      </w:divBdr>
      <w:divsChild>
        <w:div w:id="456527433">
          <w:marLeft w:val="965"/>
          <w:marRight w:val="0"/>
          <w:marTop w:val="0"/>
          <w:marBottom w:val="160"/>
          <w:divBdr>
            <w:top w:val="none" w:sz="0" w:space="0" w:color="auto"/>
            <w:left w:val="none" w:sz="0" w:space="0" w:color="auto"/>
            <w:bottom w:val="none" w:sz="0" w:space="0" w:color="auto"/>
            <w:right w:val="none" w:sz="0" w:space="0" w:color="auto"/>
          </w:divBdr>
        </w:div>
      </w:divsChild>
    </w:div>
    <w:div w:id="875042304">
      <w:bodyDiv w:val="1"/>
      <w:marLeft w:val="0"/>
      <w:marRight w:val="0"/>
      <w:marTop w:val="0"/>
      <w:marBottom w:val="0"/>
      <w:divBdr>
        <w:top w:val="none" w:sz="0" w:space="0" w:color="auto"/>
        <w:left w:val="none" w:sz="0" w:space="0" w:color="auto"/>
        <w:bottom w:val="none" w:sz="0" w:space="0" w:color="auto"/>
        <w:right w:val="none" w:sz="0" w:space="0" w:color="auto"/>
      </w:divBdr>
    </w:div>
    <w:div w:id="1711883128">
      <w:bodyDiv w:val="1"/>
      <w:marLeft w:val="0"/>
      <w:marRight w:val="0"/>
      <w:marTop w:val="0"/>
      <w:marBottom w:val="0"/>
      <w:divBdr>
        <w:top w:val="none" w:sz="0" w:space="0" w:color="auto"/>
        <w:left w:val="none" w:sz="0" w:space="0" w:color="auto"/>
        <w:bottom w:val="none" w:sz="0" w:space="0" w:color="auto"/>
        <w:right w:val="none" w:sz="0" w:space="0" w:color="auto"/>
      </w:divBdr>
      <w:divsChild>
        <w:div w:id="176845889">
          <w:marLeft w:val="965"/>
          <w:marRight w:val="0"/>
          <w:marTop w:val="0"/>
          <w:marBottom w:val="160"/>
          <w:divBdr>
            <w:top w:val="none" w:sz="0" w:space="0" w:color="auto"/>
            <w:left w:val="none" w:sz="0" w:space="0" w:color="auto"/>
            <w:bottom w:val="none" w:sz="0" w:space="0" w:color="auto"/>
            <w:right w:val="none" w:sz="0" w:space="0" w:color="auto"/>
          </w:divBdr>
        </w:div>
        <w:div w:id="1624573135">
          <w:marLeft w:val="965"/>
          <w:marRight w:val="0"/>
          <w:marTop w:val="0"/>
          <w:marBottom w:val="160"/>
          <w:divBdr>
            <w:top w:val="none" w:sz="0" w:space="0" w:color="auto"/>
            <w:left w:val="none" w:sz="0" w:space="0" w:color="auto"/>
            <w:bottom w:val="none" w:sz="0" w:space="0" w:color="auto"/>
            <w:right w:val="none" w:sz="0" w:space="0" w:color="auto"/>
          </w:divBdr>
        </w:div>
        <w:div w:id="538203227">
          <w:marLeft w:val="965"/>
          <w:marRight w:val="0"/>
          <w:marTop w:val="0"/>
          <w:marBottom w:val="160"/>
          <w:divBdr>
            <w:top w:val="none" w:sz="0" w:space="0" w:color="auto"/>
            <w:left w:val="none" w:sz="0" w:space="0" w:color="auto"/>
            <w:bottom w:val="none" w:sz="0" w:space="0" w:color="auto"/>
            <w:right w:val="none" w:sz="0" w:space="0" w:color="auto"/>
          </w:divBdr>
        </w:div>
        <w:div w:id="1489443234">
          <w:marLeft w:val="965"/>
          <w:marRight w:val="0"/>
          <w:marTop w:val="0"/>
          <w:marBottom w:val="160"/>
          <w:divBdr>
            <w:top w:val="none" w:sz="0" w:space="0" w:color="auto"/>
            <w:left w:val="none" w:sz="0" w:space="0" w:color="auto"/>
            <w:bottom w:val="none" w:sz="0" w:space="0" w:color="auto"/>
            <w:right w:val="none" w:sz="0" w:space="0" w:color="auto"/>
          </w:divBdr>
        </w:div>
      </w:divsChild>
    </w:div>
    <w:div w:id="2031763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255</Value>
      <Value>265</Value>
      <Value>264</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0f27651a-70e1-4fb1-8b1a-c1da5fc75438</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85448-4646-4880-BC08-BAB82F607E6A}">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A1BA2DD2-07B3-47B3-B263-A358E7760584}">
  <ds:schemaRefs>
    <ds:schemaRef ds:uri="http://schemas.microsoft.com/sharepoint/v3/contenttype/forms"/>
  </ds:schemaRefs>
</ds:datastoreItem>
</file>

<file path=customXml/itemProps3.xml><?xml version="1.0" encoding="utf-8"?>
<ds:datastoreItem xmlns:ds="http://schemas.openxmlformats.org/officeDocument/2006/customXml" ds:itemID="{C7B9EEEA-EE47-4604-802D-C7EC2D60C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4C9BCD-A673-4FDB-A290-EC20E9D99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52</TotalTime>
  <Pages>5</Pages>
  <Words>2196</Words>
  <Characters>12523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14690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Sigen Ye</cp:lastModifiedBy>
  <cp:revision>12</cp:revision>
  <dcterms:created xsi:type="dcterms:W3CDTF">2016-10-28T12:13:00Z</dcterms:created>
  <dcterms:modified xsi:type="dcterms:W3CDTF">2016-11-05T03:32:00Z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265;#3GPP|e46eb455-f0ba-41a2-96ee-60e1ae93d2e1;#255;#Nokia|0f27651a-70e1-4fb1-8b1a-c1da5fc75438;#264;#RAN2|980e9916-4a25-480c-aca9-d4509746e608</vt:lpwstr>
  </property>
</Properties>
</file>